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1E72DA" w:rsidP="00A96591">
      <w:pPr>
        <w:pStyle w:val="Sinespaciado"/>
        <w:tabs>
          <w:tab w:val="right" w:leader="hyphen" w:pos="9781"/>
        </w:tabs>
        <w:jc w:val="both"/>
        <w:rPr>
          <w:rFonts w:ascii="Arial" w:hAnsi="Arial" w:cs="Arial"/>
          <w:b/>
          <w:sz w:val="24"/>
          <w:szCs w:val="24"/>
        </w:rPr>
      </w:pPr>
      <w:r>
        <w:rPr>
          <w:rFonts w:ascii="Arial" w:hAnsi="Arial" w:cs="Arial"/>
          <w:b/>
          <w:sz w:val="24"/>
          <w:szCs w:val="24"/>
        </w:rPr>
        <w:t>PROYECTO DE</w:t>
      </w:r>
      <w:r w:rsidR="00353DF2" w:rsidRPr="00D5261A">
        <w:rPr>
          <w:rFonts w:ascii="Arial" w:hAnsi="Arial" w:cs="Arial"/>
          <w:b/>
          <w:sz w:val="24"/>
          <w:szCs w:val="24"/>
        </w:rPr>
        <w:t xml:space="preserve"> </w:t>
      </w:r>
      <w:r w:rsidR="00032605" w:rsidRPr="00D5261A">
        <w:rPr>
          <w:rFonts w:ascii="Arial" w:hAnsi="Arial" w:cs="Arial"/>
          <w:b/>
          <w:sz w:val="24"/>
          <w:szCs w:val="24"/>
        </w:rPr>
        <w:t xml:space="preserve">ACUERDO DEL </w:t>
      </w:r>
      <w:r w:rsidR="00AF330B">
        <w:rPr>
          <w:rFonts w:ascii="Arial" w:hAnsi="Arial" w:cs="Arial"/>
          <w:b/>
          <w:sz w:val="24"/>
          <w:szCs w:val="24"/>
        </w:rPr>
        <w:t xml:space="preserve">CONSEJO </w:t>
      </w:r>
      <w:r w:rsidR="00C063DB">
        <w:rPr>
          <w:rFonts w:ascii="Arial" w:hAnsi="Arial" w:cs="Arial"/>
          <w:b/>
          <w:sz w:val="24"/>
          <w:szCs w:val="24"/>
        </w:rPr>
        <w:t>DISTR</w:t>
      </w:r>
      <w:r w:rsidR="007351C6">
        <w:rPr>
          <w:rFonts w:ascii="Arial" w:hAnsi="Arial" w:cs="Arial"/>
          <w:b/>
          <w:sz w:val="24"/>
          <w:szCs w:val="24"/>
        </w:rPr>
        <w:t>I</w:t>
      </w:r>
      <w:r w:rsidR="00C063DB">
        <w:rPr>
          <w:rFonts w:ascii="Arial" w:hAnsi="Arial" w:cs="Arial"/>
          <w:b/>
          <w:sz w:val="24"/>
          <w:szCs w:val="24"/>
        </w:rPr>
        <w:t>TAL 2</w:t>
      </w:r>
      <w:r w:rsidR="007351C6">
        <w:rPr>
          <w:rFonts w:ascii="Arial" w:hAnsi="Arial" w:cs="Arial"/>
          <w:b/>
          <w:sz w:val="24"/>
          <w:szCs w:val="24"/>
        </w:rPr>
        <w:t>2</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 xml:space="preserve">EL </w:t>
      </w:r>
      <w:r w:rsidR="008E6131">
        <w:rPr>
          <w:rFonts w:ascii="Arial" w:hAnsi="Arial" w:cs="Arial"/>
          <w:b/>
          <w:sz w:val="24"/>
          <w:szCs w:val="24"/>
        </w:rPr>
        <w:t>DISTRITO ELECTORAL LOCAL 2</w:t>
      </w:r>
      <w:r w:rsidR="007351C6">
        <w:rPr>
          <w:rFonts w:ascii="Arial" w:hAnsi="Arial" w:cs="Arial"/>
          <w:b/>
          <w:sz w:val="24"/>
          <w:szCs w:val="24"/>
        </w:rPr>
        <w:t>2</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7351C6">
        <w:rPr>
          <w:rFonts w:ascii="Arial" w:hAnsi="Arial" w:cs="Arial"/>
          <w:b/>
          <w:sz w:val="24"/>
          <w:szCs w:val="24"/>
        </w:rPr>
        <w:t>DAVID ARMANDO GONZÁLEZ TORRENTERA</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8E6131">
        <w:rPr>
          <w:rFonts w:ascii="Arial" w:hAnsi="Arial" w:cs="Arial"/>
          <w:sz w:val="24"/>
          <w:szCs w:val="24"/>
        </w:rPr>
        <w:t>Mazatlán</w:t>
      </w:r>
      <w:r w:rsidR="00EB2637">
        <w:rPr>
          <w:rFonts w:ascii="Arial" w:hAnsi="Arial" w:cs="Arial"/>
          <w:sz w:val="24"/>
          <w:szCs w:val="24"/>
        </w:rPr>
        <w:t>,</w:t>
      </w:r>
      <w:r w:rsidRPr="00D5261A">
        <w:rPr>
          <w:rFonts w:ascii="Arial" w:hAnsi="Arial" w:cs="Arial"/>
          <w:sz w:val="24"/>
          <w:szCs w:val="24"/>
        </w:rPr>
        <w:t xml:space="preserve">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w:t>
      </w:r>
      <w:r w:rsidR="001E72DA">
        <w:rPr>
          <w:rFonts w:ascii="Arial" w:hAnsi="Arial" w:cs="Arial"/>
          <w:sz w:val="24"/>
          <w:szCs w:val="24"/>
        </w:rPr>
        <w:t>distrito electoral local 22</w:t>
      </w:r>
      <w:r w:rsidR="003B6107">
        <w:rPr>
          <w:rFonts w:ascii="Arial" w:hAnsi="Arial" w:cs="Arial"/>
          <w:sz w:val="24"/>
          <w:szCs w:val="24"/>
        </w:rPr>
        <w:t xml:space="preserve">, presentada por </w:t>
      </w:r>
      <w:r w:rsidR="008E6131">
        <w:rPr>
          <w:rFonts w:ascii="Arial" w:hAnsi="Arial" w:cs="Arial"/>
          <w:sz w:val="24"/>
          <w:szCs w:val="24"/>
        </w:rPr>
        <w:t>los</w:t>
      </w:r>
      <w:r w:rsidR="003B6107">
        <w:rPr>
          <w:rFonts w:ascii="Arial" w:hAnsi="Arial" w:cs="Arial"/>
          <w:sz w:val="24"/>
          <w:szCs w:val="24"/>
        </w:rPr>
        <w:t xml:space="preserve"> </w:t>
      </w:r>
      <w:r w:rsidR="008E6131">
        <w:rPr>
          <w:rFonts w:ascii="Arial" w:hAnsi="Arial" w:cs="Arial"/>
          <w:sz w:val="24"/>
          <w:szCs w:val="24"/>
        </w:rPr>
        <w:t xml:space="preserve">C. </w:t>
      </w:r>
      <w:r w:rsidR="00804234">
        <w:rPr>
          <w:rFonts w:ascii="Arial" w:hAnsi="Arial" w:cs="Arial"/>
          <w:sz w:val="24"/>
          <w:szCs w:val="24"/>
        </w:rPr>
        <w:t xml:space="preserve">C. </w:t>
      </w:r>
      <w:r w:rsidR="007351C6">
        <w:rPr>
          <w:rFonts w:ascii="Arial" w:hAnsi="Arial" w:cs="Arial"/>
          <w:sz w:val="24"/>
          <w:szCs w:val="24"/>
        </w:rPr>
        <w:t>David Armando González Torrentera</w:t>
      </w:r>
      <w:r w:rsidR="008E6131">
        <w:rPr>
          <w:rFonts w:ascii="Arial" w:hAnsi="Arial" w:cs="Arial"/>
          <w:sz w:val="24"/>
          <w:szCs w:val="24"/>
        </w:rPr>
        <w:t xml:space="preserve"> y </w:t>
      </w:r>
      <w:r w:rsidR="00170E54">
        <w:rPr>
          <w:rFonts w:ascii="Arial" w:hAnsi="Arial" w:cs="Arial"/>
          <w:sz w:val="24"/>
          <w:szCs w:val="24"/>
        </w:rPr>
        <w:t xml:space="preserve">Lucia </w:t>
      </w:r>
      <w:proofErr w:type="spellStart"/>
      <w:r w:rsidR="00170E54">
        <w:rPr>
          <w:rFonts w:ascii="Arial" w:hAnsi="Arial" w:cs="Arial"/>
          <w:sz w:val="24"/>
          <w:szCs w:val="24"/>
        </w:rPr>
        <w:t>Estefany</w:t>
      </w:r>
      <w:proofErr w:type="spellEnd"/>
      <w:r w:rsidR="00170E54">
        <w:rPr>
          <w:rFonts w:ascii="Arial" w:hAnsi="Arial" w:cs="Arial"/>
          <w:sz w:val="24"/>
          <w:szCs w:val="24"/>
        </w:rPr>
        <w:t xml:space="preserve"> García </w:t>
      </w:r>
      <w:proofErr w:type="spellStart"/>
      <w:r w:rsidR="00170E54">
        <w:rPr>
          <w:rFonts w:ascii="Arial" w:hAnsi="Arial" w:cs="Arial"/>
          <w:sz w:val="24"/>
          <w:szCs w:val="24"/>
        </w:rPr>
        <w:t>Ará</w:t>
      </w:r>
      <w:r w:rsidR="007351C6">
        <w:rPr>
          <w:rFonts w:ascii="Arial" w:hAnsi="Arial" w:cs="Arial"/>
          <w:sz w:val="24"/>
          <w:szCs w:val="24"/>
        </w:rPr>
        <w:t>mburo</w:t>
      </w:r>
      <w:proofErr w:type="spellEnd"/>
      <w:r w:rsidR="00CF083F">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1E72DA">
        <w:rPr>
          <w:rFonts w:ascii="Arial" w:hAnsi="Arial" w:cs="Arial"/>
          <w:sz w:val="24"/>
          <w:szCs w:val="24"/>
        </w:rPr>
        <w:t xml:space="preserve"> </w:t>
      </w:r>
      <w:r w:rsidR="001E72DA" w:rsidRPr="006B4CD2">
        <w:rPr>
          <w:rFonts w:ascii="Arial" w:hAnsi="Arial" w:cs="Arial"/>
          <w:sz w:val="24"/>
          <w:szCs w:val="24"/>
        </w:rPr>
        <w:t>Alejandro</w:t>
      </w:r>
      <w:r w:rsidR="001E72DA">
        <w:rPr>
          <w:rFonts w:ascii="Arial" w:hAnsi="Arial" w:cs="Arial"/>
          <w:sz w:val="24"/>
          <w:szCs w:val="24"/>
        </w:rPr>
        <w:t xml:space="preserve"> Bueno Ríos; </w:t>
      </w:r>
      <w:r w:rsidR="001E72DA" w:rsidRPr="006B4CD2">
        <w:rPr>
          <w:rFonts w:ascii="Arial" w:hAnsi="Arial" w:cs="Arial"/>
          <w:sz w:val="24"/>
          <w:szCs w:val="24"/>
        </w:rPr>
        <w:t xml:space="preserve">Oscar </w:t>
      </w:r>
      <w:r w:rsidR="001E72DA">
        <w:rPr>
          <w:rFonts w:ascii="Arial" w:hAnsi="Arial" w:cs="Arial"/>
          <w:sz w:val="24"/>
          <w:szCs w:val="24"/>
        </w:rPr>
        <w:t xml:space="preserve">Jesús Martínez </w:t>
      </w:r>
      <w:proofErr w:type="spellStart"/>
      <w:r w:rsidR="001E72DA">
        <w:rPr>
          <w:rFonts w:ascii="Arial" w:hAnsi="Arial" w:cs="Arial"/>
          <w:sz w:val="24"/>
          <w:szCs w:val="24"/>
        </w:rPr>
        <w:t>Aguiar</w:t>
      </w:r>
      <w:proofErr w:type="spellEnd"/>
      <w:r w:rsidR="001E72DA">
        <w:rPr>
          <w:rFonts w:ascii="Arial" w:hAnsi="Arial" w:cs="Arial"/>
          <w:sz w:val="24"/>
          <w:szCs w:val="24"/>
        </w:rPr>
        <w:t xml:space="preserve"> Ríos; </w:t>
      </w:r>
      <w:r w:rsidR="001E72DA" w:rsidRPr="006B4CD2">
        <w:rPr>
          <w:rFonts w:ascii="Arial" w:hAnsi="Arial" w:cs="Arial"/>
          <w:sz w:val="24"/>
          <w:szCs w:val="24"/>
        </w:rPr>
        <w:t xml:space="preserve"> Sa</w:t>
      </w:r>
      <w:r w:rsidR="001E72DA">
        <w:rPr>
          <w:rFonts w:ascii="Arial" w:hAnsi="Arial" w:cs="Arial"/>
          <w:sz w:val="24"/>
          <w:szCs w:val="24"/>
        </w:rPr>
        <w:t xml:space="preserve">lvador Josep Salomó Lomas; </w:t>
      </w:r>
      <w:proofErr w:type="spellStart"/>
      <w:r w:rsidR="001E72DA">
        <w:rPr>
          <w:rFonts w:ascii="Arial" w:hAnsi="Arial" w:cs="Arial"/>
          <w:sz w:val="24"/>
          <w:szCs w:val="24"/>
        </w:rPr>
        <w:t>Rosangela</w:t>
      </w:r>
      <w:proofErr w:type="spellEnd"/>
      <w:r w:rsidR="001E72DA">
        <w:rPr>
          <w:rFonts w:ascii="Arial" w:hAnsi="Arial" w:cs="Arial"/>
          <w:sz w:val="24"/>
          <w:szCs w:val="24"/>
        </w:rPr>
        <w:t xml:space="preserve"> Páez López; Karla Ruth López Torres; Lorena de Jesús León </w:t>
      </w:r>
      <w:proofErr w:type="spellStart"/>
      <w:r w:rsidR="001E72DA">
        <w:rPr>
          <w:rFonts w:ascii="Arial" w:hAnsi="Arial" w:cs="Arial"/>
          <w:sz w:val="24"/>
          <w:szCs w:val="24"/>
        </w:rPr>
        <w:t>Gaxiola</w:t>
      </w:r>
      <w:proofErr w:type="spellEnd"/>
      <w:r w:rsidR="001E72DA">
        <w:rPr>
          <w:rFonts w:ascii="Arial" w:hAnsi="Arial" w:cs="Arial"/>
          <w:sz w:val="24"/>
          <w:szCs w:val="24"/>
        </w:rPr>
        <w:t xml:space="preserve">  </w:t>
      </w:r>
      <w:r>
        <w:rPr>
          <w:rFonts w:ascii="Arial" w:hAnsi="Arial" w:cs="Arial"/>
          <w:sz w:val="24"/>
          <w:szCs w:val="24"/>
        </w:rPr>
        <w:t xml:space="preserve">y </w:t>
      </w:r>
      <w:r w:rsidR="007351C6">
        <w:rPr>
          <w:rFonts w:ascii="Arial" w:hAnsi="Arial" w:cs="Arial"/>
          <w:sz w:val="24"/>
          <w:szCs w:val="24"/>
        </w:rPr>
        <w:t>Adela Morales Parra</w:t>
      </w:r>
      <w:r>
        <w:rPr>
          <w:rFonts w:ascii="Arial" w:hAnsi="Arial" w:cs="Arial"/>
          <w:sz w:val="24"/>
          <w:szCs w:val="24"/>
        </w:rPr>
        <w:t>; fuimos nombrados Consejeros Electorales y Consejer</w:t>
      </w:r>
      <w:r w:rsidR="008E6131">
        <w:rPr>
          <w:rFonts w:ascii="Arial" w:hAnsi="Arial" w:cs="Arial"/>
          <w:sz w:val="24"/>
          <w:szCs w:val="24"/>
        </w:rPr>
        <w:t>a</w:t>
      </w:r>
      <w:r w:rsidR="00EB2637">
        <w:rPr>
          <w:rFonts w:ascii="Arial" w:hAnsi="Arial" w:cs="Arial"/>
          <w:sz w:val="24"/>
          <w:szCs w:val="24"/>
        </w:rPr>
        <w:t xml:space="preserve"> President</w:t>
      </w:r>
      <w:r w:rsidR="008E6131">
        <w:rPr>
          <w:rFonts w:ascii="Arial" w:hAnsi="Arial" w:cs="Arial"/>
          <w:sz w:val="24"/>
          <w:szCs w:val="24"/>
        </w:rPr>
        <w:t>a</w:t>
      </w:r>
      <w:r w:rsidR="00EB2637">
        <w:rPr>
          <w:rFonts w:ascii="Arial" w:hAnsi="Arial" w:cs="Arial"/>
          <w:sz w:val="24"/>
          <w:szCs w:val="24"/>
        </w:rPr>
        <w:t xml:space="preserve"> </w:t>
      </w:r>
      <w:r>
        <w:rPr>
          <w:rFonts w:ascii="Arial" w:hAnsi="Arial" w:cs="Arial"/>
          <w:sz w:val="24"/>
          <w:szCs w:val="24"/>
        </w:rPr>
        <w:t xml:space="preserve">del </w:t>
      </w:r>
      <w:r w:rsidR="00AF330B">
        <w:rPr>
          <w:rFonts w:ascii="Arial" w:hAnsi="Arial" w:cs="Arial"/>
          <w:sz w:val="24"/>
          <w:szCs w:val="24"/>
        </w:rPr>
        <w:t xml:space="preserve">Consejo </w:t>
      </w:r>
      <w:r w:rsidR="008C3468">
        <w:rPr>
          <w:rFonts w:ascii="Arial" w:hAnsi="Arial" w:cs="Arial"/>
          <w:sz w:val="24"/>
          <w:szCs w:val="24"/>
        </w:rPr>
        <w:t>Distrtial 22</w:t>
      </w:r>
      <w:r>
        <w:rPr>
          <w:rFonts w:ascii="Arial" w:hAnsi="Arial" w:cs="Arial"/>
          <w:sz w:val="24"/>
          <w:szCs w:val="24"/>
        </w:rPr>
        <w:t>, con sede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sidR="001E72DA">
        <w:rPr>
          <w:rFonts w:ascii="Arial" w:hAnsi="Arial" w:cs="Arial"/>
          <w:sz w:val="24"/>
          <w:szCs w:val="24"/>
        </w:rPr>
        <w:t>-</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 xml:space="preserve">---XII.- Que </w:t>
      </w:r>
      <w:r w:rsidR="008E6131">
        <w:rPr>
          <w:rFonts w:ascii="Arial" w:hAnsi="Arial" w:cs="Arial"/>
          <w:sz w:val="24"/>
          <w:szCs w:val="24"/>
        </w:rPr>
        <w:t>la</w:t>
      </w:r>
      <w:r w:rsidR="00EB2637" w:rsidRPr="00EB2637">
        <w:rPr>
          <w:rFonts w:ascii="Arial" w:hAnsi="Arial" w:cs="Arial"/>
          <w:sz w:val="24"/>
          <w:szCs w:val="24"/>
        </w:rPr>
        <w:t xml:space="preserve"> </w:t>
      </w:r>
      <w:r w:rsidR="00A74693" w:rsidRPr="00EB2637">
        <w:rPr>
          <w:rFonts w:ascii="Arial" w:hAnsi="Arial" w:cs="Arial"/>
          <w:sz w:val="24"/>
          <w:szCs w:val="24"/>
        </w:rPr>
        <w:t>C.</w:t>
      </w:r>
      <w:r w:rsidR="00EB2637" w:rsidRPr="00EB2637">
        <w:rPr>
          <w:rFonts w:ascii="Arial" w:hAnsi="Arial" w:cs="Arial"/>
          <w:sz w:val="24"/>
          <w:szCs w:val="24"/>
        </w:rPr>
        <w:t xml:space="preserve"> </w:t>
      </w:r>
      <w:r w:rsidR="007351C6">
        <w:rPr>
          <w:rFonts w:ascii="Arial" w:hAnsi="Arial" w:cs="Arial"/>
          <w:sz w:val="24"/>
          <w:szCs w:val="24"/>
        </w:rPr>
        <w:t>Adela Morales Parra</w:t>
      </w:r>
      <w:r w:rsidR="00EB2637" w:rsidRPr="00EB2637">
        <w:rPr>
          <w:rFonts w:ascii="Arial" w:hAnsi="Arial" w:cs="Arial"/>
          <w:sz w:val="24"/>
          <w:szCs w:val="24"/>
        </w:rPr>
        <w:t>,</w:t>
      </w:r>
      <w:r w:rsidR="00A74693" w:rsidRPr="00EB2637">
        <w:rPr>
          <w:rFonts w:ascii="Arial" w:hAnsi="Arial" w:cs="Arial"/>
          <w:sz w:val="24"/>
          <w:szCs w:val="24"/>
        </w:rPr>
        <w:t xml:space="preserve"> Consejer</w:t>
      </w:r>
      <w:r w:rsidR="007351C6">
        <w:rPr>
          <w:rFonts w:ascii="Arial" w:hAnsi="Arial" w:cs="Arial"/>
          <w:sz w:val="24"/>
          <w:szCs w:val="24"/>
        </w:rPr>
        <w:t>a</w:t>
      </w:r>
      <w:r w:rsidR="00A74693" w:rsidRPr="00EB2637">
        <w:rPr>
          <w:rFonts w:ascii="Arial" w:hAnsi="Arial" w:cs="Arial"/>
          <w:sz w:val="24"/>
          <w:szCs w:val="24"/>
        </w:rPr>
        <w:t xml:space="preserve"> President</w:t>
      </w:r>
      <w:r w:rsidR="00CF083F">
        <w:rPr>
          <w:rFonts w:ascii="Arial" w:hAnsi="Arial" w:cs="Arial"/>
          <w:sz w:val="24"/>
          <w:szCs w:val="24"/>
        </w:rPr>
        <w:t>e</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---XIV.- Con </w:t>
      </w:r>
      <w:r w:rsidR="005D6F73">
        <w:rPr>
          <w:rFonts w:ascii="Arial" w:hAnsi="Arial" w:cs="Arial"/>
          <w:sz w:val="24"/>
          <w:szCs w:val="24"/>
        </w:rPr>
        <w:t xml:space="preserve">fecha </w:t>
      </w:r>
      <w:r w:rsidR="001E72DA">
        <w:rPr>
          <w:rFonts w:ascii="Arial" w:hAnsi="Arial" w:cs="Arial"/>
          <w:sz w:val="24"/>
          <w:szCs w:val="24"/>
        </w:rPr>
        <w:t>21</w:t>
      </w:r>
      <w:r>
        <w:rPr>
          <w:rFonts w:ascii="Arial" w:hAnsi="Arial" w:cs="Arial"/>
          <w:sz w:val="24"/>
          <w:szCs w:val="24"/>
        </w:rPr>
        <w:t xml:space="preserve"> 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xml:space="preserve">. Con </w:t>
      </w:r>
      <w:r w:rsidR="00035D65">
        <w:rPr>
          <w:rFonts w:ascii="Arial" w:hAnsi="Arial" w:cs="Arial"/>
          <w:sz w:val="24"/>
          <w:szCs w:val="24"/>
        </w:rPr>
        <w:t>fecha 20</w:t>
      </w:r>
      <w:r>
        <w:rPr>
          <w:rFonts w:ascii="Arial" w:hAnsi="Arial" w:cs="Arial"/>
          <w:sz w:val="24"/>
          <w:szCs w:val="24"/>
        </w:rPr>
        <w:t xml:space="preserve"> de enero de 2016, se recibió escrito de manifestación de intención del C. </w:t>
      </w:r>
      <w:r w:rsidR="007351C6">
        <w:rPr>
          <w:rFonts w:ascii="Arial" w:hAnsi="Arial" w:cs="Arial"/>
          <w:sz w:val="24"/>
          <w:szCs w:val="24"/>
        </w:rPr>
        <w:t>David Armando González Torrentera</w:t>
      </w:r>
      <w:r w:rsidR="00CF083F">
        <w:rPr>
          <w:rFonts w:ascii="Arial" w:hAnsi="Arial" w:cs="Arial"/>
          <w:sz w:val="24"/>
          <w:szCs w:val="24"/>
        </w:rPr>
        <w:t xml:space="preserve"> </w:t>
      </w:r>
      <w:r>
        <w:rPr>
          <w:rFonts w:ascii="Arial" w:hAnsi="Arial" w:cs="Arial"/>
          <w:sz w:val="24"/>
          <w:szCs w:val="24"/>
        </w:rPr>
        <w:t>para contender como aspirante a candidat</w:t>
      </w:r>
      <w:r w:rsidR="00C02D0D">
        <w:rPr>
          <w:rFonts w:ascii="Arial" w:hAnsi="Arial" w:cs="Arial"/>
          <w:sz w:val="24"/>
          <w:szCs w:val="24"/>
        </w:rPr>
        <w:t>o</w:t>
      </w:r>
      <w:r>
        <w:rPr>
          <w:rFonts w:ascii="Arial" w:hAnsi="Arial" w:cs="Arial"/>
          <w:sz w:val="24"/>
          <w:szCs w:val="24"/>
        </w:rPr>
        <w:t xml:space="preserve">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Consejo </w:t>
      </w:r>
      <w:r w:rsidR="00C063DB">
        <w:rPr>
          <w:rFonts w:ascii="Arial" w:hAnsi="Arial" w:cs="Arial"/>
          <w:sz w:val="24"/>
          <w:szCs w:val="24"/>
        </w:rPr>
        <w:t>Distr</w:t>
      </w:r>
      <w:r w:rsidR="008C3468">
        <w:rPr>
          <w:rFonts w:ascii="Arial" w:hAnsi="Arial" w:cs="Arial"/>
          <w:sz w:val="24"/>
          <w:szCs w:val="24"/>
        </w:rPr>
        <w:t>i</w:t>
      </w:r>
      <w:r w:rsidR="00C063DB">
        <w:rPr>
          <w:rFonts w:ascii="Arial" w:hAnsi="Arial" w:cs="Arial"/>
          <w:sz w:val="24"/>
          <w:szCs w:val="24"/>
        </w:rPr>
        <w:t>tal 2</w:t>
      </w:r>
      <w:r w:rsidR="008C3468">
        <w:rPr>
          <w:rFonts w:ascii="Arial" w:hAnsi="Arial" w:cs="Arial"/>
          <w:sz w:val="24"/>
          <w:szCs w:val="24"/>
        </w:rPr>
        <w:t>2</w:t>
      </w:r>
      <w:r w:rsidR="00035D65">
        <w:rPr>
          <w:rFonts w:ascii="Arial" w:hAnsi="Arial" w:cs="Arial"/>
          <w:sz w:val="24"/>
          <w:szCs w:val="24"/>
        </w:rPr>
        <w:t xml:space="preserve"> con fecha 24 </w:t>
      </w:r>
      <w:r>
        <w:rPr>
          <w:rFonts w:ascii="Arial" w:hAnsi="Arial" w:cs="Arial"/>
          <w:sz w:val="24"/>
          <w:szCs w:val="24"/>
        </w:rPr>
        <w:t xml:space="preserve">de enero de 2016, emitió acuerdo administrativo mediante el cual declaro la procedencia de la manifestación de intención presentada por el C. </w:t>
      </w:r>
      <w:r w:rsidR="007351C6">
        <w:rPr>
          <w:rFonts w:ascii="Arial" w:hAnsi="Arial" w:cs="Arial"/>
          <w:sz w:val="24"/>
          <w:szCs w:val="24"/>
        </w:rPr>
        <w:t>David Armando González Torrentera</w:t>
      </w:r>
      <w:r w:rsidR="00CF083F">
        <w:rPr>
          <w:rFonts w:ascii="Arial" w:hAnsi="Arial" w:cs="Arial"/>
          <w:sz w:val="24"/>
          <w:szCs w:val="24"/>
        </w:rPr>
        <w:t xml:space="preserv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7351C6">
        <w:rPr>
          <w:rFonts w:ascii="Arial" w:hAnsi="Arial" w:cs="Arial"/>
          <w:sz w:val="24"/>
          <w:szCs w:val="24"/>
        </w:rPr>
        <w:t>distrito 22</w:t>
      </w:r>
      <w:r>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 xml:space="preserve">El periodo para la realización de actos </w:t>
      </w:r>
      <w:r w:rsidRPr="00727E93">
        <w:rPr>
          <w:rFonts w:ascii="Arial" w:hAnsi="Arial" w:cs="Arial"/>
          <w:i/>
          <w:sz w:val="24"/>
          <w:szCs w:val="24"/>
        </w:rPr>
        <w:lastRenderedPageBreak/>
        <w:t>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CF083F">
        <w:rPr>
          <w:rFonts w:ascii="Arial" w:hAnsi="Arial" w:cs="Arial"/>
          <w:sz w:val="24"/>
          <w:szCs w:val="24"/>
        </w:rPr>
        <w:t>0</w:t>
      </w:r>
      <w:r w:rsidR="007351C6">
        <w:rPr>
          <w:rFonts w:ascii="Arial" w:hAnsi="Arial" w:cs="Arial"/>
          <w:sz w:val="24"/>
          <w:szCs w:val="24"/>
        </w:rPr>
        <w:t>4</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7351C6">
        <w:rPr>
          <w:rFonts w:ascii="Arial" w:hAnsi="Arial" w:cs="Arial"/>
          <w:sz w:val="24"/>
          <w:szCs w:val="24"/>
        </w:rPr>
        <w:t>David Armando González Torrentera</w:t>
      </w:r>
      <w:r w:rsidR="00CF083F">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C063DB">
        <w:rPr>
          <w:rFonts w:ascii="Arial" w:hAnsi="Arial" w:cs="Arial"/>
          <w:sz w:val="24"/>
          <w:szCs w:val="24"/>
        </w:rPr>
        <w:t>3</w:t>
      </w:r>
      <w:r w:rsidR="007351C6">
        <w:rPr>
          <w:rFonts w:ascii="Arial" w:hAnsi="Arial" w:cs="Arial"/>
          <w:sz w:val="24"/>
          <w:szCs w:val="24"/>
        </w:rPr>
        <w:t>50</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C063DB">
        <w:rPr>
          <w:rFonts w:ascii="Arial" w:hAnsi="Arial" w:cs="Arial"/>
          <w:sz w:val="24"/>
          <w:szCs w:val="24"/>
        </w:rPr>
        <w:t>3,</w:t>
      </w:r>
      <w:r w:rsidR="007351C6">
        <w:rPr>
          <w:rFonts w:ascii="Arial" w:hAnsi="Arial" w:cs="Arial"/>
          <w:sz w:val="24"/>
          <w:szCs w:val="24"/>
        </w:rPr>
        <w:t>0</w:t>
      </w:r>
      <w:r w:rsidR="00C063DB">
        <w:rPr>
          <w:rFonts w:ascii="Arial" w:hAnsi="Arial" w:cs="Arial"/>
          <w:sz w:val="24"/>
          <w:szCs w:val="24"/>
        </w:rPr>
        <w:t>30</w:t>
      </w:r>
      <w:r w:rsidR="00EB2637">
        <w:rPr>
          <w:rFonts w:ascii="Arial" w:hAnsi="Arial" w:cs="Arial"/>
          <w:sz w:val="24"/>
          <w:szCs w:val="24"/>
        </w:rPr>
        <w:t xml:space="preserve"> (</w:t>
      </w:r>
      <w:r w:rsidR="00C063DB">
        <w:rPr>
          <w:rFonts w:ascii="Arial" w:hAnsi="Arial" w:cs="Arial"/>
          <w:sz w:val="24"/>
          <w:szCs w:val="24"/>
        </w:rPr>
        <w:t>tres</w:t>
      </w:r>
      <w:r w:rsidR="00EB2637">
        <w:rPr>
          <w:rFonts w:ascii="Arial" w:hAnsi="Arial" w:cs="Arial"/>
          <w:sz w:val="24"/>
          <w:szCs w:val="24"/>
        </w:rPr>
        <w:t xml:space="preserve"> mil </w:t>
      </w:r>
      <w:r w:rsidR="00C063DB">
        <w:rPr>
          <w:rFonts w:ascii="Arial" w:hAnsi="Arial" w:cs="Arial"/>
          <w:sz w:val="24"/>
          <w:szCs w:val="24"/>
        </w:rPr>
        <w:t>treinta</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C063DB">
        <w:rPr>
          <w:rFonts w:ascii="Arial" w:hAnsi="Arial" w:cs="Arial"/>
          <w:sz w:val="24"/>
          <w:szCs w:val="24"/>
        </w:rPr>
        <w:t>1</w:t>
      </w:r>
      <w:r w:rsidR="005B5F78">
        <w:rPr>
          <w:rFonts w:ascii="Arial" w:hAnsi="Arial" w:cs="Arial"/>
          <w:sz w:val="24"/>
          <w:szCs w:val="24"/>
        </w:rPr>
        <w:t>6</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8E6131">
        <w:rPr>
          <w:rFonts w:ascii="Arial" w:hAnsi="Arial" w:cs="Arial"/>
          <w:sz w:val="24"/>
          <w:szCs w:val="24"/>
        </w:rPr>
        <w:t>fórmula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7351C6">
        <w:rPr>
          <w:rFonts w:ascii="Arial" w:hAnsi="Arial" w:cs="Arial"/>
          <w:sz w:val="24"/>
          <w:szCs w:val="24"/>
        </w:rPr>
        <w:t>distrito 22</w:t>
      </w:r>
      <w:r>
        <w:rPr>
          <w:rFonts w:ascii="Arial" w:hAnsi="Arial" w:cs="Arial"/>
          <w:sz w:val="24"/>
          <w:szCs w:val="24"/>
        </w:rPr>
        <w:t xml:space="preserve"> con cabecera en la ciudad de </w:t>
      </w:r>
      <w:r w:rsidR="005B5F78">
        <w:rPr>
          <w:rFonts w:ascii="Arial" w:hAnsi="Arial" w:cs="Arial"/>
          <w:sz w:val="24"/>
          <w:szCs w:val="24"/>
        </w:rPr>
        <w:t>Mazatlán</w:t>
      </w:r>
      <w:r w:rsidR="00CF083F">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7351C6">
        <w:rPr>
          <w:rFonts w:ascii="Arial" w:hAnsi="Arial" w:cs="Arial"/>
          <w:sz w:val="24"/>
          <w:szCs w:val="24"/>
        </w:rPr>
        <w:t>David Armando González Torrentera</w:t>
      </w:r>
      <w:r w:rsidR="00A979DA">
        <w:rPr>
          <w:rFonts w:ascii="Arial" w:hAnsi="Arial" w:cs="Arial"/>
          <w:sz w:val="24"/>
          <w:szCs w:val="24"/>
        </w:rPr>
        <w:t>, como candidat</w:t>
      </w:r>
      <w:r w:rsidR="00C02D0D">
        <w:rPr>
          <w:rFonts w:ascii="Arial" w:hAnsi="Arial" w:cs="Arial"/>
          <w:sz w:val="24"/>
          <w:szCs w:val="24"/>
        </w:rPr>
        <w:t>o</w:t>
      </w:r>
      <w:r w:rsidR="00A979DA">
        <w:rPr>
          <w:rFonts w:ascii="Arial" w:hAnsi="Arial" w:cs="Arial"/>
          <w:sz w:val="24"/>
          <w:szCs w:val="24"/>
        </w:rPr>
        <w:t xml:space="preserve"> independiente propietari</w:t>
      </w:r>
      <w:r w:rsidR="00C02D0D">
        <w:rPr>
          <w:rFonts w:ascii="Arial" w:hAnsi="Arial" w:cs="Arial"/>
          <w:sz w:val="24"/>
          <w:szCs w:val="24"/>
        </w:rPr>
        <w:t>o</w:t>
      </w:r>
      <w:r w:rsidR="00A979DA">
        <w:rPr>
          <w:rFonts w:ascii="Arial" w:hAnsi="Arial" w:cs="Arial"/>
          <w:sz w:val="24"/>
          <w:szCs w:val="24"/>
        </w:rPr>
        <w:t xml:space="preserve">  y  </w:t>
      </w:r>
      <w:r w:rsidR="008E6131">
        <w:rPr>
          <w:rFonts w:ascii="Arial" w:hAnsi="Arial" w:cs="Arial"/>
          <w:sz w:val="24"/>
          <w:szCs w:val="24"/>
        </w:rPr>
        <w:t>la</w:t>
      </w:r>
      <w:r w:rsidR="00CF083F">
        <w:rPr>
          <w:rFonts w:ascii="Arial" w:hAnsi="Arial" w:cs="Arial"/>
          <w:sz w:val="24"/>
          <w:szCs w:val="24"/>
        </w:rPr>
        <w:t xml:space="preserve"> </w:t>
      </w:r>
      <w:r w:rsidR="00A979DA">
        <w:rPr>
          <w:rFonts w:ascii="Arial" w:hAnsi="Arial" w:cs="Arial"/>
          <w:sz w:val="24"/>
          <w:szCs w:val="24"/>
        </w:rPr>
        <w:t xml:space="preserve">C. </w:t>
      </w:r>
      <w:r w:rsidR="007351C6">
        <w:rPr>
          <w:rFonts w:ascii="Arial" w:hAnsi="Arial" w:cs="Arial"/>
          <w:sz w:val="24"/>
          <w:szCs w:val="24"/>
        </w:rPr>
        <w:t xml:space="preserve">Lucia </w:t>
      </w:r>
      <w:proofErr w:type="spellStart"/>
      <w:r w:rsidR="00170E54">
        <w:rPr>
          <w:rFonts w:ascii="Arial" w:hAnsi="Arial" w:cs="Arial"/>
          <w:sz w:val="24"/>
          <w:szCs w:val="24"/>
        </w:rPr>
        <w:t>Estefany</w:t>
      </w:r>
      <w:proofErr w:type="spellEnd"/>
      <w:r w:rsidR="00170E54">
        <w:rPr>
          <w:rFonts w:ascii="Arial" w:hAnsi="Arial" w:cs="Arial"/>
          <w:sz w:val="24"/>
          <w:szCs w:val="24"/>
        </w:rPr>
        <w:t xml:space="preserve"> García </w:t>
      </w:r>
      <w:proofErr w:type="spellStart"/>
      <w:r w:rsidR="00170E54">
        <w:rPr>
          <w:rFonts w:ascii="Arial" w:hAnsi="Arial" w:cs="Arial"/>
          <w:sz w:val="24"/>
          <w:szCs w:val="24"/>
        </w:rPr>
        <w:t>Ará</w:t>
      </w:r>
      <w:r w:rsidR="007351C6">
        <w:rPr>
          <w:rFonts w:ascii="Arial" w:hAnsi="Arial" w:cs="Arial"/>
          <w:sz w:val="24"/>
          <w:szCs w:val="24"/>
        </w:rPr>
        <w:t>mburo</w:t>
      </w:r>
      <w:proofErr w:type="spellEnd"/>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w:t>
      </w:r>
      <w:r w:rsidR="008E6131">
        <w:rPr>
          <w:rFonts w:ascii="Arial" w:hAnsi="Arial" w:cs="Arial"/>
          <w:sz w:val="24"/>
          <w:szCs w:val="24"/>
        </w:rPr>
        <w: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xml:space="preserve">, en el ejercicio de sus </w:t>
      </w:r>
      <w:r w:rsidR="00821EB2" w:rsidRPr="00D5261A">
        <w:rPr>
          <w:rFonts w:ascii="Arial" w:hAnsi="Arial" w:cs="Arial"/>
          <w:sz w:val="24"/>
          <w:szCs w:val="24"/>
        </w:rPr>
        <w:lastRenderedPageBreak/>
        <w:t>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 xml:space="preserve">Ahome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 xml:space="preserve">Sinaloa y </w:t>
            </w:r>
            <w:r w:rsidR="00B62E3E">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B62E3E" w:rsidP="00936BFE">
            <w:pPr>
              <w:rPr>
                <w:sz w:val="16"/>
                <w:szCs w:val="16"/>
              </w:rPr>
            </w:pPr>
            <w:r>
              <w:rPr>
                <w:sz w:val="16"/>
                <w:szCs w:val="16"/>
              </w:rPr>
              <w:t>Salvador Alvarado</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B62E3E" w:rsidP="00936BFE">
            <w:pPr>
              <w:rPr>
                <w:sz w:val="16"/>
                <w:szCs w:val="16"/>
              </w:rPr>
            </w:pPr>
            <w:r>
              <w:rPr>
                <w:sz w:val="16"/>
                <w:szCs w:val="16"/>
              </w:rPr>
              <w:t>Salvador Alvarado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7351C6">
        <w:rPr>
          <w:rFonts w:ascii="Arial" w:hAnsi="Arial" w:cs="Arial"/>
          <w:sz w:val="24"/>
          <w:szCs w:val="24"/>
        </w:rPr>
        <w:t>David Armando González Torrentera</w:t>
      </w:r>
      <w:r w:rsidR="00D4319C">
        <w:rPr>
          <w:rFonts w:ascii="Arial" w:hAnsi="Arial" w:cs="Arial"/>
          <w:sz w:val="24"/>
          <w:szCs w:val="24"/>
        </w:rPr>
        <w:t>, obtuvo su constancia que l</w:t>
      </w:r>
      <w:r w:rsidR="00DB1B79">
        <w:rPr>
          <w:rFonts w:ascii="Arial" w:hAnsi="Arial" w:cs="Arial"/>
          <w:sz w:val="24"/>
          <w:szCs w:val="24"/>
        </w:rPr>
        <w:t>a</w:t>
      </w:r>
      <w:r w:rsidR="00D4319C">
        <w:rPr>
          <w:rFonts w:ascii="Arial" w:hAnsi="Arial" w:cs="Arial"/>
          <w:sz w:val="24"/>
          <w:szCs w:val="24"/>
        </w:rPr>
        <w:t xml:space="preserve"> acredita como Aspirante a Candidato independiente, según el acuerdo administrativo emitido por la presidencia de este Consejo distrital con </w:t>
      </w:r>
      <w:r w:rsidR="00035D65">
        <w:rPr>
          <w:rFonts w:ascii="Arial" w:hAnsi="Arial" w:cs="Arial"/>
          <w:sz w:val="24"/>
          <w:szCs w:val="24"/>
        </w:rPr>
        <w:t>fecha 24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8E6131">
        <w:rPr>
          <w:rFonts w:ascii="Arial" w:hAnsi="Arial" w:cs="Arial"/>
          <w:sz w:val="24"/>
          <w:szCs w:val="24"/>
        </w:rPr>
        <w:t>1</w:t>
      </w:r>
      <w:r w:rsidR="005B5F78">
        <w:rPr>
          <w:rFonts w:ascii="Arial" w:hAnsi="Arial" w:cs="Arial"/>
          <w:sz w:val="24"/>
          <w:szCs w:val="24"/>
        </w:rPr>
        <w:t>6</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7351C6">
        <w:rPr>
          <w:rFonts w:ascii="Arial" w:hAnsi="Arial" w:cs="Arial"/>
          <w:sz w:val="24"/>
          <w:szCs w:val="24"/>
        </w:rPr>
        <w:t>David Armando González Torrentera</w:t>
      </w:r>
      <w:r w:rsidR="00DB1B79">
        <w:rPr>
          <w:rFonts w:ascii="Arial" w:hAnsi="Arial" w:cs="Arial"/>
          <w:sz w:val="24"/>
          <w:szCs w:val="24"/>
        </w:rPr>
        <w:t xml:space="preserve"> </w:t>
      </w:r>
      <w:r w:rsidR="00A979DA">
        <w:rPr>
          <w:rFonts w:ascii="Arial" w:hAnsi="Arial" w:cs="Arial"/>
          <w:sz w:val="24"/>
          <w:szCs w:val="24"/>
        </w:rPr>
        <w:t xml:space="preserve">y  </w:t>
      </w:r>
      <w:r w:rsidR="00170E54">
        <w:rPr>
          <w:rFonts w:ascii="Arial" w:hAnsi="Arial" w:cs="Arial"/>
          <w:sz w:val="24"/>
          <w:szCs w:val="24"/>
        </w:rPr>
        <w:t xml:space="preserve">Lucia </w:t>
      </w:r>
      <w:proofErr w:type="spellStart"/>
      <w:r w:rsidR="00170E54">
        <w:rPr>
          <w:rFonts w:ascii="Arial" w:hAnsi="Arial" w:cs="Arial"/>
          <w:sz w:val="24"/>
          <w:szCs w:val="24"/>
        </w:rPr>
        <w:t>Estefany</w:t>
      </w:r>
      <w:proofErr w:type="spellEnd"/>
      <w:r w:rsidR="00170E54">
        <w:rPr>
          <w:rFonts w:ascii="Arial" w:hAnsi="Arial" w:cs="Arial"/>
          <w:sz w:val="24"/>
          <w:szCs w:val="24"/>
        </w:rPr>
        <w:t xml:space="preserve"> García </w:t>
      </w:r>
      <w:proofErr w:type="spellStart"/>
      <w:r w:rsidR="00170E54">
        <w:rPr>
          <w:rFonts w:ascii="Arial" w:hAnsi="Arial" w:cs="Arial"/>
          <w:sz w:val="24"/>
          <w:szCs w:val="24"/>
        </w:rPr>
        <w:t>Ará</w:t>
      </w:r>
      <w:r w:rsidR="007351C6">
        <w:rPr>
          <w:rFonts w:ascii="Arial" w:hAnsi="Arial" w:cs="Arial"/>
          <w:sz w:val="24"/>
          <w:szCs w:val="24"/>
        </w:rPr>
        <w:t>mburo</w:t>
      </w:r>
      <w:proofErr w:type="spellEnd"/>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C02D0D">
        <w:rPr>
          <w:rFonts w:ascii="Arial" w:hAnsi="Arial" w:cs="Arial"/>
          <w:sz w:val="24"/>
          <w:szCs w:val="24"/>
        </w:rPr>
        <w: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w:t>
      </w:r>
      <w:r w:rsidR="007351C6">
        <w:rPr>
          <w:rFonts w:ascii="Arial" w:hAnsi="Arial" w:cs="Arial"/>
          <w:sz w:val="24"/>
          <w:szCs w:val="24"/>
        </w:rPr>
        <w:t>distrito 22</w:t>
      </w:r>
      <w:r>
        <w:rPr>
          <w:rFonts w:ascii="Arial" w:hAnsi="Arial" w:cs="Arial"/>
          <w:sz w:val="24"/>
          <w:szCs w:val="24"/>
        </w:rPr>
        <w:t>, con cabecera en la ciudad de</w:t>
      </w:r>
      <w:r w:rsidR="00BF5467">
        <w:rPr>
          <w:rFonts w:ascii="Arial" w:hAnsi="Arial" w:cs="Arial"/>
          <w:sz w:val="24"/>
          <w:szCs w:val="24"/>
        </w:rPr>
        <w:t xml:space="preserve"> </w:t>
      </w:r>
      <w:r w:rsidR="008E6131">
        <w:rPr>
          <w:rFonts w:ascii="Arial" w:hAnsi="Arial" w:cs="Arial"/>
          <w:sz w:val="24"/>
          <w:szCs w:val="24"/>
        </w:rPr>
        <w:t>Mazatlán</w:t>
      </w:r>
      <w:r w:rsidR="00CF083F">
        <w:rPr>
          <w:rFonts w:ascii="Arial" w:hAnsi="Arial" w:cs="Arial"/>
          <w:sz w:val="24"/>
          <w:szCs w:val="24"/>
        </w:rPr>
        <w:t>,</w:t>
      </w:r>
      <w:r w:rsidR="00DB1B79">
        <w:rPr>
          <w:rFonts w:ascii="Arial" w:hAnsi="Arial" w:cs="Arial"/>
          <w:sz w:val="24"/>
          <w:szCs w:val="24"/>
        </w:rPr>
        <w:t xml:space="preserve"> </w:t>
      </w:r>
      <w:r>
        <w:rPr>
          <w:rFonts w:ascii="Arial" w:hAnsi="Arial" w:cs="Arial"/>
          <w:sz w:val="24"/>
          <w:szCs w:val="24"/>
        </w:rPr>
        <w:t>Sinaloa</w:t>
      </w:r>
      <w:r w:rsidR="00A979DA">
        <w:rPr>
          <w:rFonts w:ascii="Arial" w:hAnsi="Arial" w:cs="Arial"/>
          <w:sz w:val="24"/>
          <w:szCs w:val="24"/>
        </w:rPr>
        <w:t>, en su calidad de propietari</w:t>
      </w:r>
      <w:r w:rsidR="00C02D0D">
        <w:rPr>
          <w:rFonts w:ascii="Arial" w:hAnsi="Arial" w:cs="Arial"/>
          <w:sz w:val="24"/>
          <w:szCs w:val="24"/>
        </w:rPr>
        <w:t>o</w:t>
      </w:r>
      <w:r w:rsidR="00A979DA">
        <w:rPr>
          <w:rFonts w:ascii="Arial" w:hAnsi="Arial" w:cs="Arial"/>
          <w:sz w:val="24"/>
          <w:szCs w:val="24"/>
        </w:rPr>
        <w:t xml:space="preserve">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lastRenderedPageBreak/>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65B14">
      <w:pPr>
        <w:pStyle w:val="Sinespaciado"/>
        <w:tabs>
          <w:tab w:val="right" w:leader="hyphen" w:pos="9781"/>
        </w:tabs>
        <w:jc w:val="both"/>
        <w:rPr>
          <w:rFonts w:ascii="Arial" w:hAnsi="Arial" w:cs="Arial"/>
          <w:sz w:val="24"/>
          <w:szCs w:val="24"/>
        </w:rPr>
      </w:pPr>
    </w:p>
    <w:p w:rsidR="001D6CE6" w:rsidRDefault="00CC1F98" w:rsidP="001D6CE6">
      <w:pPr>
        <w:pStyle w:val="Sinespaciado"/>
        <w:tabs>
          <w:tab w:val="right" w:leader="hyphen" w:pos="9781"/>
        </w:tabs>
        <w:jc w:val="both"/>
        <w:rPr>
          <w:rFonts w:ascii="Arial" w:hAnsi="Arial" w:cs="Arial"/>
          <w:sz w:val="24"/>
          <w:szCs w:val="24"/>
        </w:rPr>
      </w:pPr>
      <w:r>
        <w:rPr>
          <w:rFonts w:ascii="Arial" w:hAnsi="Arial" w:cs="Arial"/>
          <w:sz w:val="24"/>
          <w:szCs w:val="24"/>
        </w:rPr>
        <w:t>---17.-</w:t>
      </w:r>
      <w:r w:rsidRPr="00CC1F98">
        <w:rPr>
          <w:rFonts w:ascii="Arial" w:hAnsi="Arial" w:cs="Arial"/>
          <w:sz w:val="24"/>
          <w:szCs w:val="24"/>
        </w:rPr>
        <w:t xml:space="preserve"> </w:t>
      </w:r>
      <w:r>
        <w:rPr>
          <w:rFonts w:ascii="Arial" w:hAnsi="Arial" w:cs="Arial"/>
          <w:sz w:val="24"/>
          <w:szCs w:val="24"/>
        </w:rPr>
        <w:t xml:space="preserve">En los términos que se establece en los artículos 94 último párrafo,  95, 191 y 192 de la Ley de Instituciones y Procedimientos Electorales del Estado de Sinaloa, este Consejo, realizó la revisión de la documentación presentada por los C. C. David Armando González Torrentera y  Lucia </w:t>
      </w:r>
      <w:proofErr w:type="spellStart"/>
      <w:r>
        <w:rPr>
          <w:rFonts w:ascii="Arial" w:hAnsi="Arial" w:cs="Arial"/>
          <w:sz w:val="24"/>
          <w:szCs w:val="24"/>
        </w:rPr>
        <w:t>Estefany</w:t>
      </w:r>
      <w:proofErr w:type="spellEnd"/>
      <w:r>
        <w:rPr>
          <w:rFonts w:ascii="Arial" w:hAnsi="Arial" w:cs="Arial"/>
          <w:sz w:val="24"/>
          <w:szCs w:val="24"/>
        </w:rPr>
        <w:t xml:space="preserve"> Garcí</w:t>
      </w:r>
      <w:r w:rsidR="00170E54">
        <w:rPr>
          <w:rFonts w:ascii="Arial" w:hAnsi="Arial" w:cs="Arial"/>
          <w:sz w:val="24"/>
          <w:szCs w:val="24"/>
        </w:rPr>
        <w:t xml:space="preserve">a </w:t>
      </w:r>
      <w:proofErr w:type="spellStart"/>
      <w:r w:rsidR="00170E54">
        <w:rPr>
          <w:rFonts w:ascii="Arial" w:hAnsi="Arial" w:cs="Arial"/>
          <w:sz w:val="24"/>
          <w:szCs w:val="24"/>
        </w:rPr>
        <w:t>Ará</w:t>
      </w:r>
      <w:r>
        <w:rPr>
          <w:rFonts w:ascii="Arial" w:hAnsi="Arial" w:cs="Arial"/>
          <w:sz w:val="24"/>
          <w:szCs w:val="24"/>
        </w:rPr>
        <w:t>mburo</w:t>
      </w:r>
      <w:proofErr w:type="spellEnd"/>
      <w:r>
        <w:rPr>
          <w:rFonts w:ascii="Arial" w:hAnsi="Arial" w:cs="Arial"/>
          <w:sz w:val="24"/>
          <w:szCs w:val="24"/>
        </w:rPr>
        <w:t>,  misma que permite arribar a la conclusión de que la solicitud de registro presentada, contiene los datos que acompaña los documentos, y cumplen con algunos de los requisitos a que se hace referencia en los dos considerandos que anteceden, por lo que fue necesario requerirle mediante oficio de fecha 19 de marzo de 2016, lo siguiente.</w:t>
      </w:r>
      <w:r w:rsidR="001D6CE6">
        <w:rPr>
          <w:rFonts w:ascii="Arial" w:hAnsi="Arial" w:cs="Arial"/>
          <w:sz w:val="24"/>
          <w:szCs w:val="24"/>
        </w:rPr>
        <w:tab/>
      </w:r>
    </w:p>
    <w:p w:rsidR="001D6CE6" w:rsidRDefault="001D6CE6" w:rsidP="00165B14">
      <w:pPr>
        <w:pStyle w:val="Sinespaciado"/>
        <w:tabs>
          <w:tab w:val="right" w:leader="hyphen" w:pos="9781"/>
        </w:tabs>
        <w:jc w:val="both"/>
        <w:rPr>
          <w:rFonts w:ascii="Arial" w:hAnsi="Arial" w:cs="Arial"/>
          <w:sz w:val="24"/>
          <w:szCs w:val="24"/>
        </w:rPr>
      </w:pPr>
    </w:p>
    <w:p w:rsidR="00165B14" w:rsidRDefault="00165B14" w:rsidP="00165B1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CC1F98">
        <w:rPr>
          <w:rFonts w:ascii="Arial" w:hAnsi="Arial" w:cs="Arial"/>
          <w:sz w:val="24"/>
          <w:szCs w:val="24"/>
        </w:rPr>
        <w:t>--- 1.- Acuse de Recibo de Presentación del Informe de Precampaña Electoral 2015-2016.</w:t>
      </w:r>
    </w:p>
    <w:p w:rsidR="004A0332" w:rsidRDefault="004A0332" w:rsidP="00D33694">
      <w:pPr>
        <w:pStyle w:val="Sinespaciado"/>
        <w:tabs>
          <w:tab w:val="right" w:leader="hyphen" w:pos="9781"/>
        </w:tabs>
        <w:jc w:val="both"/>
        <w:rPr>
          <w:rFonts w:ascii="Arial" w:hAnsi="Arial" w:cs="Arial"/>
          <w:sz w:val="24"/>
          <w:szCs w:val="24"/>
        </w:rPr>
      </w:pPr>
    </w:p>
    <w:p w:rsidR="00707FDC" w:rsidRDefault="00CC1F98" w:rsidP="00D33694">
      <w:pPr>
        <w:pStyle w:val="Sinespaciado"/>
        <w:tabs>
          <w:tab w:val="right" w:leader="hyphen" w:pos="9781"/>
        </w:tabs>
        <w:jc w:val="both"/>
        <w:rPr>
          <w:rFonts w:ascii="Arial" w:hAnsi="Arial" w:cs="Arial"/>
          <w:sz w:val="24"/>
          <w:szCs w:val="24"/>
        </w:rPr>
      </w:pPr>
      <w:r>
        <w:rPr>
          <w:rFonts w:ascii="Arial" w:hAnsi="Arial" w:cs="Arial"/>
          <w:sz w:val="24"/>
          <w:szCs w:val="24"/>
        </w:rPr>
        <w:t>---18.-Que el C. David Armando González Torrentera, atendió el requerimiento y mediante oficio de fecha 20 de marzo de 2016, hizo llegar a este Consejo Distrital la siguiente documentación:----------------------------------------------------------------------------------------------------</w:t>
      </w:r>
    </w:p>
    <w:p w:rsidR="00CC1F98" w:rsidRDefault="00CC1F98" w:rsidP="00D33694">
      <w:pPr>
        <w:pStyle w:val="Sinespaciado"/>
        <w:tabs>
          <w:tab w:val="right" w:leader="hyphen" w:pos="9781"/>
        </w:tabs>
        <w:jc w:val="both"/>
        <w:rPr>
          <w:rFonts w:ascii="Arial" w:hAnsi="Arial" w:cs="Arial"/>
          <w:sz w:val="24"/>
          <w:szCs w:val="24"/>
        </w:rPr>
      </w:pPr>
    </w:p>
    <w:p w:rsidR="00707FDC" w:rsidRDefault="00170E54"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CC1F98">
        <w:rPr>
          <w:rFonts w:ascii="Arial" w:hAnsi="Arial" w:cs="Arial"/>
          <w:sz w:val="24"/>
          <w:szCs w:val="24"/>
        </w:rPr>
        <w:t xml:space="preserve"> 1.- Acuse de Recibo de Presentación del Informe de Precampaña Electoral 2015-2016.</w:t>
      </w:r>
      <w:r>
        <w:rPr>
          <w:rFonts w:ascii="Arial" w:hAnsi="Arial" w:cs="Arial"/>
          <w:sz w:val="24"/>
          <w:szCs w:val="24"/>
        </w:rPr>
        <w:t>--</w:t>
      </w:r>
    </w:p>
    <w:p w:rsidR="00396EFF" w:rsidRDefault="00396EFF" w:rsidP="00D33694">
      <w:pPr>
        <w:pStyle w:val="Sinespaciado"/>
        <w:tabs>
          <w:tab w:val="right" w:leader="hyphen" w:pos="9781"/>
        </w:tabs>
        <w:jc w:val="both"/>
        <w:rPr>
          <w:rFonts w:ascii="Arial" w:hAnsi="Arial" w:cs="Arial"/>
          <w:sz w:val="24"/>
          <w:szCs w:val="24"/>
        </w:rPr>
      </w:pPr>
    </w:p>
    <w:p w:rsidR="00707FDC" w:rsidRDefault="00396EFF" w:rsidP="00D33694">
      <w:pPr>
        <w:pStyle w:val="Sinespaciado"/>
        <w:tabs>
          <w:tab w:val="right" w:leader="hyphen" w:pos="9781"/>
        </w:tabs>
        <w:jc w:val="both"/>
        <w:rPr>
          <w:rFonts w:ascii="Arial" w:hAnsi="Arial" w:cs="Arial"/>
          <w:sz w:val="24"/>
          <w:szCs w:val="24"/>
        </w:rPr>
      </w:pPr>
      <w:r>
        <w:rPr>
          <w:rFonts w:ascii="Arial" w:hAnsi="Arial" w:cs="Arial"/>
          <w:sz w:val="24"/>
          <w:szCs w:val="24"/>
        </w:rPr>
        <w:t>---En virtud de lo anterior y una vez analizados los documentos y argumentaciones legales que los C.C. David Armando González Torren</w:t>
      </w:r>
      <w:r w:rsidR="00170E54">
        <w:rPr>
          <w:rFonts w:ascii="Arial" w:hAnsi="Arial" w:cs="Arial"/>
          <w:sz w:val="24"/>
          <w:szCs w:val="24"/>
        </w:rPr>
        <w:t xml:space="preserve">tera y Lucia </w:t>
      </w:r>
      <w:proofErr w:type="spellStart"/>
      <w:r w:rsidR="00170E54">
        <w:rPr>
          <w:rFonts w:ascii="Arial" w:hAnsi="Arial" w:cs="Arial"/>
          <w:sz w:val="24"/>
          <w:szCs w:val="24"/>
        </w:rPr>
        <w:t>Estefany</w:t>
      </w:r>
      <w:proofErr w:type="spellEnd"/>
      <w:r w:rsidR="00170E54">
        <w:rPr>
          <w:rFonts w:ascii="Arial" w:hAnsi="Arial" w:cs="Arial"/>
          <w:sz w:val="24"/>
          <w:szCs w:val="24"/>
        </w:rPr>
        <w:t xml:space="preserve"> García </w:t>
      </w:r>
      <w:proofErr w:type="spellStart"/>
      <w:r w:rsidR="00170E54">
        <w:rPr>
          <w:rFonts w:ascii="Arial" w:hAnsi="Arial" w:cs="Arial"/>
          <w:sz w:val="24"/>
          <w:szCs w:val="24"/>
        </w:rPr>
        <w:t>Ará</w:t>
      </w:r>
      <w:r>
        <w:rPr>
          <w:rFonts w:ascii="Arial" w:hAnsi="Arial" w:cs="Arial"/>
          <w:sz w:val="24"/>
          <w:szCs w:val="24"/>
        </w:rPr>
        <w:t>mburo</w:t>
      </w:r>
      <w:proofErr w:type="spellEnd"/>
      <w:r>
        <w:rPr>
          <w:rFonts w:ascii="Arial" w:hAnsi="Arial" w:cs="Arial"/>
          <w:sz w:val="24"/>
          <w:szCs w:val="24"/>
        </w:rPr>
        <w:t xml:space="preserve"> hicieron valer en su escrito de respuesta, a este Consejo Distrital y dan por subsanadas todas y cada una de las observaciones u omisiones señaladas en el oficio de requerimiento, por lo que concluye que el expediente que contiene la solicitud de registro </w:t>
      </w:r>
      <w:r>
        <w:rPr>
          <w:rFonts w:ascii="Arial" w:hAnsi="Arial" w:cs="Arial"/>
          <w:sz w:val="24"/>
          <w:szCs w:val="24"/>
        </w:rPr>
        <w:lastRenderedPageBreak/>
        <w:t>presentad</w:t>
      </w:r>
      <w:r w:rsidR="00170E54">
        <w:rPr>
          <w:rFonts w:ascii="Arial" w:hAnsi="Arial" w:cs="Arial"/>
          <w:sz w:val="24"/>
          <w:szCs w:val="24"/>
        </w:rPr>
        <w:t>o</w:t>
      </w:r>
      <w:r>
        <w:rPr>
          <w:rFonts w:ascii="Arial" w:hAnsi="Arial" w:cs="Arial"/>
          <w:sz w:val="24"/>
          <w:szCs w:val="24"/>
        </w:rPr>
        <w:t xml:space="preserve"> y los documentos que se anexaron, cumple con los requisitos a que se hace referencia en los considerandos que anteceden. </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7351C6">
        <w:rPr>
          <w:rFonts w:ascii="Arial" w:hAnsi="Arial" w:cs="Arial"/>
          <w:sz w:val="24"/>
          <w:szCs w:val="24"/>
        </w:rPr>
        <w:t>David Armando González Torrentera</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19</w:t>
      </w:r>
      <w:r w:rsidR="004253E4">
        <w:rPr>
          <w:rFonts w:ascii="Arial" w:hAnsi="Arial" w:cs="Arial"/>
          <w:sz w:val="24"/>
          <w:szCs w:val="24"/>
        </w:rPr>
        <w:t>.-</w:t>
      </w:r>
      <w:r w:rsidRPr="00DF12BA">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w:t>
      </w:r>
      <w:r w:rsidR="00C02D0D">
        <w:rPr>
          <w:rFonts w:ascii="Arial" w:hAnsi="Arial" w:cs="Arial"/>
          <w:sz w:val="24"/>
          <w:szCs w:val="24"/>
        </w:rPr>
        <w:t>el</w:t>
      </w:r>
      <w:r>
        <w:rPr>
          <w:rFonts w:ascii="Arial" w:hAnsi="Arial" w:cs="Arial"/>
          <w:sz w:val="24"/>
          <w:szCs w:val="24"/>
        </w:rPr>
        <w:t xml:space="preserve"> C. </w:t>
      </w:r>
      <w:r w:rsidR="007351C6">
        <w:rPr>
          <w:rFonts w:ascii="Arial" w:hAnsi="Arial" w:cs="Arial"/>
          <w:sz w:val="24"/>
          <w:szCs w:val="24"/>
        </w:rPr>
        <w:t>David Armando González Torrentera</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0</w:t>
      </w:r>
      <w:r w:rsidR="005B5F78">
        <w:rPr>
          <w:rFonts w:ascii="Arial" w:hAnsi="Arial" w:cs="Arial"/>
          <w:sz w:val="24"/>
          <w:szCs w:val="24"/>
        </w:rPr>
        <w:t>4</w:t>
      </w:r>
      <w:r w:rsidR="00B23FC8">
        <w:rPr>
          <w:rFonts w:ascii="Arial" w:hAnsi="Arial" w:cs="Arial"/>
          <w:sz w:val="24"/>
          <w:szCs w:val="24"/>
        </w:rPr>
        <w:t xml:space="preserve"> de marzo de 2016, </w:t>
      </w:r>
      <w:r>
        <w:rPr>
          <w:rFonts w:ascii="Arial" w:hAnsi="Arial" w:cs="Arial"/>
          <w:sz w:val="24"/>
          <w:szCs w:val="24"/>
        </w:rPr>
        <w:t xml:space="preserve">entregó un total de </w:t>
      </w:r>
      <w:r w:rsidR="00C063DB">
        <w:rPr>
          <w:rFonts w:ascii="Arial" w:hAnsi="Arial" w:cs="Arial"/>
          <w:sz w:val="24"/>
          <w:szCs w:val="24"/>
        </w:rPr>
        <w:t>3</w:t>
      </w:r>
      <w:r w:rsidR="005B5F78">
        <w:rPr>
          <w:rFonts w:ascii="Arial" w:hAnsi="Arial" w:cs="Arial"/>
          <w:sz w:val="24"/>
          <w:szCs w:val="24"/>
        </w:rPr>
        <w:t>50</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C063DB">
        <w:rPr>
          <w:rFonts w:ascii="Arial" w:hAnsi="Arial" w:cs="Arial"/>
          <w:sz w:val="24"/>
          <w:szCs w:val="24"/>
        </w:rPr>
        <w:t>3,</w:t>
      </w:r>
      <w:r w:rsidR="005B5F78">
        <w:rPr>
          <w:rFonts w:ascii="Arial" w:hAnsi="Arial" w:cs="Arial"/>
          <w:sz w:val="24"/>
          <w:szCs w:val="24"/>
        </w:rPr>
        <w:t>0</w:t>
      </w:r>
      <w:r w:rsidR="00C063DB">
        <w:rPr>
          <w:rFonts w:ascii="Arial" w:hAnsi="Arial" w:cs="Arial"/>
          <w:sz w:val="24"/>
          <w:szCs w:val="24"/>
        </w:rPr>
        <w:t>30</w:t>
      </w:r>
      <w:r w:rsidR="00CF20EB">
        <w:rPr>
          <w:rFonts w:ascii="Arial" w:hAnsi="Arial" w:cs="Arial"/>
          <w:sz w:val="24"/>
          <w:szCs w:val="24"/>
        </w:rPr>
        <w:t xml:space="preserve"> (</w:t>
      </w:r>
      <w:r w:rsidR="00C063DB">
        <w:rPr>
          <w:rFonts w:ascii="Arial" w:hAnsi="Arial" w:cs="Arial"/>
          <w:sz w:val="24"/>
          <w:szCs w:val="24"/>
        </w:rPr>
        <w:t>tres</w:t>
      </w:r>
      <w:r w:rsidR="00CF20EB">
        <w:rPr>
          <w:rFonts w:ascii="Arial" w:hAnsi="Arial" w:cs="Arial"/>
          <w:sz w:val="24"/>
          <w:szCs w:val="24"/>
        </w:rPr>
        <w:t xml:space="preserve"> mil </w:t>
      </w:r>
      <w:r w:rsidR="00C063DB">
        <w:rPr>
          <w:rFonts w:ascii="Arial" w:hAnsi="Arial" w:cs="Arial"/>
          <w:sz w:val="24"/>
          <w:szCs w:val="24"/>
        </w:rPr>
        <w:t>treinta</w:t>
      </w:r>
      <w:r w:rsidR="00CF20EB">
        <w:rPr>
          <w:rFonts w:ascii="Arial" w:hAnsi="Arial" w:cs="Arial"/>
          <w:sz w:val="24"/>
          <w:szCs w:val="24"/>
        </w:rPr>
        <w:t>)</w:t>
      </w:r>
      <w:r>
        <w:rPr>
          <w:rFonts w:ascii="Arial" w:hAnsi="Arial" w:cs="Arial"/>
          <w:sz w:val="24"/>
          <w:szCs w:val="24"/>
        </w:rPr>
        <w:t xml:space="preserve"> ciudadanos, </w:t>
      </w:r>
      <w:r w:rsidR="00C02D0D">
        <w:rPr>
          <w:rFonts w:ascii="Arial" w:hAnsi="Arial" w:cs="Arial"/>
          <w:sz w:val="24"/>
          <w:szCs w:val="24"/>
        </w:rPr>
        <w:t xml:space="preserve">que apoyan su aspiración a la candidatura independiente, </w:t>
      </w:r>
      <w:r>
        <w:rPr>
          <w:rFonts w:ascii="Arial" w:hAnsi="Arial" w:cs="Arial"/>
          <w:sz w:val="24"/>
          <w:szCs w:val="24"/>
        </w:rPr>
        <w:t>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la C. </w:t>
      </w:r>
      <w:r w:rsidR="007351C6">
        <w:rPr>
          <w:rFonts w:ascii="Arial" w:hAnsi="Arial" w:cs="Arial"/>
          <w:sz w:val="24"/>
          <w:szCs w:val="24"/>
        </w:rPr>
        <w:t>David Armando González Torrentera</w:t>
      </w:r>
      <w:r>
        <w:rPr>
          <w:rFonts w:ascii="Arial" w:hAnsi="Arial" w:cs="Arial"/>
          <w:sz w:val="24"/>
          <w:szCs w:val="24"/>
        </w:rPr>
        <w:t>,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 obteniendo los siguientes resultado:</w:t>
      </w:r>
      <w:r>
        <w:rPr>
          <w:rFonts w:ascii="Arial" w:hAnsi="Arial" w:cs="Arial"/>
          <w:sz w:val="24"/>
          <w:szCs w:val="24"/>
        </w:rPr>
        <w:tab/>
      </w:r>
    </w:p>
    <w:p w:rsidR="00DB1B79" w:rsidRDefault="00DB1B7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5B5F78">
        <w:rPr>
          <w:rFonts w:ascii="Arial" w:hAnsi="Arial" w:cs="Arial"/>
          <w:sz w:val="24"/>
          <w:szCs w:val="24"/>
        </w:rPr>
        <w:t xml:space="preserve">  03</w:t>
      </w:r>
      <w:r>
        <w:rPr>
          <w:rFonts w:ascii="Arial" w:hAnsi="Arial" w:cs="Arial"/>
          <w:sz w:val="24"/>
          <w:szCs w:val="24"/>
        </w:rPr>
        <w:tab/>
        <w:t>Registros duplicados.</w:t>
      </w:r>
      <w:r>
        <w:rPr>
          <w:rFonts w:ascii="Arial" w:hAnsi="Arial" w:cs="Arial"/>
          <w:sz w:val="24"/>
          <w:szCs w:val="24"/>
        </w:rPr>
        <w:tab/>
      </w:r>
    </w:p>
    <w:p w:rsidR="00DB1B79" w:rsidRDefault="00DB1B79" w:rsidP="00DB1B79">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3F0DFF">
        <w:rPr>
          <w:rFonts w:ascii="Arial" w:hAnsi="Arial" w:cs="Arial"/>
          <w:sz w:val="24"/>
          <w:szCs w:val="24"/>
        </w:rPr>
        <w:t xml:space="preserve"> </w:t>
      </w:r>
      <w:r w:rsidR="005B5F78">
        <w:rPr>
          <w:rFonts w:ascii="Arial" w:hAnsi="Arial" w:cs="Arial"/>
          <w:sz w:val="24"/>
          <w:szCs w:val="24"/>
        </w:rPr>
        <w:t>209</w:t>
      </w:r>
      <w:r>
        <w:rPr>
          <w:rFonts w:ascii="Arial" w:hAnsi="Arial" w:cs="Arial"/>
          <w:sz w:val="24"/>
          <w:szCs w:val="24"/>
        </w:rPr>
        <w:t xml:space="preserve"> </w:t>
      </w:r>
      <w:r>
        <w:rPr>
          <w:rFonts w:ascii="Arial" w:hAnsi="Arial" w:cs="Arial"/>
          <w:sz w:val="24"/>
          <w:szCs w:val="24"/>
        </w:rPr>
        <w:tab/>
        <w:t>Registros que no pertenecen al distrito</w:t>
      </w:r>
      <w:r>
        <w:rPr>
          <w:rFonts w:ascii="Arial" w:hAnsi="Arial" w:cs="Arial"/>
          <w:sz w:val="24"/>
          <w:szCs w:val="24"/>
        </w:rPr>
        <w:tab/>
      </w:r>
    </w:p>
    <w:p w:rsidR="00F569B6" w:rsidRDefault="00F569B6" w:rsidP="00F569B6">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5B5F78">
        <w:rPr>
          <w:rFonts w:ascii="Arial" w:hAnsi="Arial" w:cs="Arial"/>
          <w:sz w:val="24"/>
          <w:szCs w:val="24"/>
        </w:rPr>
        <w:t>12</w:t>
      </w:r>
      <w:r>
        <w:rPr>
          <w:rFonts w:ascii="Arial" w:hAnsi="Arial" w:cs="Arial"/>
          <w:sz w:val="24"/>
          <w:szCs w:val="24"/>
        </w:rPr>
        <w:t xml:space="preserve"> </w:t>
      </w:r>
      <w:r>
        <w:rPr>
          <w:rFonts w:ascii="Arial" w:hAnsi="Arial" w:cs="Arial"/>
          <w:sz w:val="24"/>
          <w:szCs w:val="24"/>
        </w:rPr>
        <w:tab/>
        <w:t xml:space="preserve">Registros </w:t>
      </w:r>
      <w:r w:rsidR="005B5F78">
        <w:rPr>
          <w:rFonts w:ascii="Arial" w:hAnsi="Arial" w:cs="Arial"/>
          <w:sz w:val="24"/>
          <w:szCs w:val="24"/>
        </w:rPr>
        <w:t>sin firma autógrafa del ciudadano</w:t>
      </w:r>
      <w:r>
        <w:rPr>
          <w:rFonts w:ascii="Arial" w:hAnsi="Arial" w:cs="Arial"/>
          <w:sz w:val="24"/>
          <w:szCs w:val="24"/>
        </w:rPr>
        <w:t>.</w:t>
      </w:r>
      <w:r>
        <w:rPr>
          <w:rFonts w:ascii="Arial" w:hAnsi="Arial" w:cs="Arial"/>
          <w:sz w:val="24"/>
          <w:szCs w:val="24"/>
        </w:rPr>
        <w:tab/>
      </w:r>
    </w:p>
    <w:p w:rsidR="009836E9" w:rsidRDefault="009836E9" w:rsidP="00DB1B79">
      <w:pPr>
        <w:pStyle w:val="Sinespaciado"/>
        <w:tabs>
          <w:tab w:val="right" w:leader="hyphen" w:pos="9781"/>
        </w:tabs>
        <w:jc w:val="both"/>
        <w:rPr>
          <w:rFonts w:ascii="Arial" w:hAnsi="Arial" w:cs="Arial"/>
          <w:sz w:val="24"/>
          <w:szCs w:val="24"/>
        </w:rPr>
      </w:pPr>
    </w:p>
    <w:p w:rsidR="00DB1B79" w:rsidRDefault="00DB1B79" w:rsidP="00DB1B79">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9D7A5E">
        <w:rPr>
          <w:rFonts w:ascii="Arial" w:hAnsi="Arial" w:cs="Arial"/>
          <w:b/>
          <w:sz w:val="24"/>
          <w:szCs w:val="24"/>
        </w:rPr>
        <w:t>2,</w:t>
      </w:r>
      <w:r w:rsidR="00C063DB">
        <w:rPr>
          <w:rFonts w:ascii="Arial" w:hAnsi="Arial" w:cs="Arial"/>
          <w:b/>
          <w:sz w:val="24"/>
          <w:szCs w:val="24"/>
        </w:rPr>
        <w:t>8</w:t>
      </w:r>
      <w:r w:rsidR="005B5F78">
        <w:rPr>
          <w:rFonts w:ascii="Arial" w:hAnsi="Arial" w:cs="Arial"/>
          <w:b/>
          <w:sz w:val="24"/>
          <w:szCs w:val="24"/>
        </w:rPr>
        <w:t>06</w:t>
      </w:r>
      <w:r>
        <w:rPr>
          <w:rFonts w:ascii="Arial" w:hAnsi="Arial" w:cs="Arial"/>
          <w:sz w:val="24"/>
          <w:szCs w:val="24"/>
        </w:rPr>
        <w:t xml:space="preserve"> (</w:t>
      </w:r>
      <w:r w:rsidR="009D7A5E">
        <w:rPr>
          <w:rFonts w:ascii="Arial" w:hAnsi="Arial" w:cs="Arial"/>
          <w:sz w:val="24"/>
          <w:szCs w:val="24"/>
        </w:rPr>
        <w:t>dos</w:t>
      </w:r>
      <w:r>
        <w:rPr>
          <w:rFonts w:ascii="Arial" w:hAnsi="Arial" w:cs="Arial"/>
          <w:sz w:val="24"/>
          <w:szCs w:val="24"/>
        </w:rPr>
        <w:t xml:space="preserve"> mil </w:t>
      </w:r>
      <w:r w:rsidR="00C063DB">
        <w:rPr>
          <w:rFonts w:ascii="Arial" w:hAnsi="Arial" w:cs="Arial"/>
          <w:sz w:val="24"/>
          <w:szCs w:val="24"/>
        </w:rPr>
        <w:t xml:space="preserve">ochocientos </w:t>
      </w:r>
      <w:r w:rsidR="005B5F78">
        <w:rPr>
          <w:rFonts w:ascii="Arial" w:hAnsi="Arial" w:cs="Arial"/>
          <w:sz w:val="24"/>
          <w:szCs w:val="24"/>
        </w:rPr>
        <w:t>seis</w:t>
      </w:r>
      <w:r>
        <w:rPr>
          <w:rFonts w:ascii="Arial" w:hAnsi="Arial" w:cs="Arial"/>
          <w:sz w:val="24"/>
          <w:szCs w:val="24"/>
        </w:rPr>
        <w:t>), de los cuales la Dirección Ejecutiva del Registro Federal de Electores del Instituto Nacional Electoral emitió los siguientes resultados:</w:t>
      </w:r>
      <w:r>
        <w:rPr>
          <w:rFonts w:ascii="Arial" w:hAnsi="Arial" w:cs="Arial"/>
          <w:sz w:val="24"/>
          <w:szCs w:val="24"/>
        </w:rPr>
        <w:tab/>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5B5F78">
        <w:rPr>
          <w:rFonts w:ascii="Arial" w:hAnsi="Arial" w:cs="Arial"/>
          <w:sz w:val="24"/>
          <w:szCs w:val="24"/>
        </w:rPr>
        <w:t>34</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9D7A5E">
        <w:rPr>
          <w:rFonts w:ascii="Arial" w:hAnsi="Arial" w:cs="Arial"/>
          <w:sz w:val="24"/>
          <w:szCs w:val="24"/>
        </w:rPr>
        <w:t xml:space="preserve">   </w:t>
      </w:r>
      <w:r w:rsidR="00C063DB">
        <w:rPr>
          <w:rFonts w:ascii="Arial" w:hAnsi="Arial" w:cs="Arial"/>
          <w:sz w:val="24"/>
          <w:szCs w:val="24"/>
        </w:rPr>
        <w:t xml:space="preserve">  </w:t>
      </w:r>
      <w:r w:rsidR="005B5F78">
        <w:rPr>
          <w:rFonts w:ascii="Arial" w:hAnsi="Arial" w:cs="Arial"/>
          <w:sz w:val="24"/>
          <w:szCs w:val="24"/>
        </w:rPr>
        <w:t>71</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5B5F78">
        <w:rPr>
          <w:rFonts w:ascii="Arial" w:hAnsi="Arial" w:cs="Arial"/>
          <w:sz w:val="24"/>
          <w:szCs w:val="24"/>
        </w:rPr>
        <w:t>32</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9D7A5E">
        <w:rPr>
          <w:rFonts w:ascii="Arial" w:hAnsi="Arial" w:cs="Arial"/>
          <w:sz w:val="24"/>
          <w:szCs w:val="24"/>
        </w:rPr>
        <w:t>0</w:t>
      </w:r>
      <w:r w:rsidR="005B5F78">
        <w:rPr>
          <w:rFonts w:ascii="Arial" w:hAnsi="Arial" w:cs="Arial"/>
          <w:sz w:val="24"/>
          <w:szCs w:val="24"/>
        </w:rPr>
        <w:t>7</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9836E9" w:rsidRDefault="009836E9" w:rsidP="009836E9">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0</w:t>
      </w:r>
      <w:r w:rsidR="005B5F78">
        <w:rPr>
          <w:rFonts w:ascii="Arial" w:hAnsi="Arial" w:cs="Arial"/>
          <w:sz w:val="24"/>
          <w:szCs w:val="24"/>
        </w:rPr>
        <w:t>4</w:t>
      </w:r>
      <w:r>
        <w:rPr>
          <w:rFonts w:ascii="Arial" w:hAnsi="Arial" w:cs="Arial"/>
          <w:sz w:val="24"/>
          <w:szCs w:val="24"/>
        </w:rPr>
        <w:t xml:space="preserve"> </w:t>
      </w:r>
      <w:r>
        <w:rPr>
          <w:rFonts w:ascii="Arial" w:hAnsi="Arial" w:cs="Arial"/>
          <w:sz w:val="24"/>
          <w:szCs w:val="24"/>
        </w:rPr>
        <w:tab/>
        <w:t>Registros en padrón electoral, pero que no completaron el procedimiento, es decir, no recogieron su credencial para votar vigente.</w:t>
      </w:r>
      <w:r>
        <w:rPr>
          <w:rFonts w:ascii="Arial" w:hAnsi="Arial" w:cs="Arial"/>
          <w:sz w:val="24"/>
          <w:szCs w:val="24"/>
        </w:rPr>
        <w:tab/>
      </w:r>
    </w:p>
    <w:p w:rsidR="00494D90" w:rsidRDefault="00494D90" w:rsidP="00494D90">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5B5F78">
        <w:rPr>
          <w:rFonts w:ascii="Arial" w:hAnsi="Arial" w:cs="Arial"/>
          <w:sz w:val="24"/>
          <w:szCs w:val="24"/>
        </w:rPr>
        <w:t>10</w:t>
      </w:r>
      <w:r>
        <w:rPr>
          <w:rFonts w:ascii="Arial" w:hAnsi="Arial" w:cs="Arial"/>
          <w:sz w:val="24"/>
          <w:szCs w:val="24"/>
        </w:rPr>
        <w:t xml:space="preserve">8 </w:t>
      </w:r>
      <w:r>
        <w:rPr>
          <w:rFonts w:ascii="Arial" w:hAnsi="Arial" w:cs="Arial"/>
          <w:sz w:val="24"/>
          <w:szCs w:val="24"/>
        </w:rPr>
        <w:tab/>
        <w:t>Registros no localizados.</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9836E9">
        <w:rPr>
          <w:rFonts w:ascii="Arial" w:hAnsi="Arial" w:cs="Arial"/>
          <w:sz w:val="24"/>
          <w:szCs w:val="24"/>
        </w:rPr>
        <w:t xml:space="preserve">  </w:t>
      </w:r>
      <w:r w:rsidR="005B5F78">
        <w:rPr>
          <w:rFonts w:ascii="Arial" w:hAnsi="Arial" w:cs="Arial"/>
          <w:sz w:val="24"/>
          <w:szCs w:val="24"/>
        </w:rPr>
        <w:t>25</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 xml:space="preserve">Registros </w:t>
      </w:r>
      <w:r w:rsidR="00494D90">
        <w:rPr>
          <w:rFonts w:ascii="Arial" w:hAnsi="Arial" w:cs="Arial"/>
          <w:sz w:val="24"/>
          <w:szCs w:val="24"/>
        </w:rPr>
        <w:t>con clave de elector u OCR mal conformado</w:t>
      </w:r>
      <w:r>
        <w:rPr>
          <w:rFonts w:ascii="Arial" w:hAnsi="Arial" w:cs="Arial"/>
          <w:sz w:val="24"/>
          <w:szCs w:val="24"/>
        </w:rPr>
        <w:t>.</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494D90">
        <w:rPr>
          <w:rFonts w:ascii="Arial" w:hAnsi="Arial" w:cs="Arial"/>
          <w:sz w:val="24"/>
          <w:szCs w:val="24"/>
        </w:rPr>
        <w:t>2,</w:t>
      </w:r>
      <w:r w:rsidR="005B5F78">
        <w:rPr>
          <w:rFonts w:ascii="Arial" w:hAnsi="Arial" w:cs="Arial"/>
          <w:sz w:val="24"/>
          <w:szCs w:val="24"/>
        </w:rPr>
        <w:t>52</w:t>
      </w:r>
      <w:r w:rsidR="00494D90">
        <w:rPr>
          <w:rFonts w:ascii="Arial" w:hAnsi="Arial" w:cs="Arial"/>
          <w:sz w:val="24"/>
          <w:szCs w:val="24"/>
        </w:rPr>
        <w:t>5</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411BA2" w:rsidRDefault="00411BA2" w:rsidP="00411BA2">
      <w:pPr>
        <w:pStyle w:val="Sinespaciado"/>
        <w:tabs>
          <w:tab w:val="right" w:leader="hyphen" w:pos="9781"/>
        </w:tabs>
        <w:jc w:val="both"/>
        <w:rPr>
          <w:rFonts w:ascii="Arial" w:hAnsi="Arial" w:cs="Arial"/>
          <w:sz w:val="24"/>
          <w:szCs w:val="24"/>
        </w:rPr>
      </w:pPr>
      <w:r>
        <w:rPr>
          <w:rFonts w:ascii="Arial" w:hAnsi="Arial" w:cs="Arial"/>
          <w:sz w:val="24"/>
          <w:szCs w:val="24"/>
        </w:rPr>
        <w:t xml:space="preserve">---23.- Considerando que de conformidad con lo dispuesto en el párrafo tercero, del artículo 83 de la Ley de Instituciones y Procedimientos Electorales del Estado de Sinaloa, la lista nominal correspondiente al distrito electoral local  </w:t>
      </w:r>
      <w:r w:rsidR="00494D90">
        <w:rPr>
          <w:rFonts w:ascii="Arial" w:hAnsi="Arial" w:cs="Arial"/>
          <w:sz w:val="24"/>
          <w:szCs w:val="24"/>
        </w:rPr>
        <w:t>2</w:t>
      </w:r>
      <w:r w:rsidR="005B5F78">
        <w:rPr>
          <w:rFonts w:ascii="Arial" w:hAnsi="Arial" w:cs="Arial"/>
          <w:sz w:val="24"/>
          <w:szCs w:val="24"/>
        </w:rPr>
        <w:t>2</w:t>
      </w:r>
      <w:r>
        <w:rPr>
          <w:rFonts w:ascii="Arial" w:hAnsi="Arial" w:cs="Arial"/>
          <w:sz w:val="24"/>
          <w:szCs w:val="24"/>
        </w:rPr>
        <w:t xml:space="preserve">, con corte al 31 de agosto del año previo al de la elección, se conformaba con </w:t>
      </w:r>
      <w:r w:rsidR="005B5F78">
        <w:rPr>
          <w:rFonts w:ascii="Arial" w:hAnsi="Arial" w:cs="Arial"/>
          <w:b/>
          <w:sz w:val="24"/>
          <w:szCs w:val="24"/>
        </w:rPr>
        <w:t>92,186</w:t>
      </w:r>
      <w:r>
        <w:rPr>
          <w:rFonts w:ascii="Arial" w:hAnsi="Arial" w:cs="Arial"/>
          <w:sz w:val="24"/>
          <w:szCs w:val="24"/>
        </w:rPr>
        <w:t xml:space="preserve"> (</w:t>
      </w:r>
      <w:r w:rsidR="005B5F78">
        <w:rPr>
          <w:rFonts w:ascii="Arial" w:hAnsi="Arial" w:cs="Arial"/>
          <w:sz w:val="24"/>
          <w:szCs w:val="24"/>
        </w:rPr>
        <w:t>noventa y dos</w:t>
      </w:r>
      <w:r>
        <w:rPr>
          <w:rFonts w:ascii="Arial" w:hAnsi="Arial" w:cs="Arial"/>
          <w:sz w:val="24"/>
          <w:szCs w:val="24"/>
        </w:rPr>
        <w:t xml:space="preserve"> mil </w:t>
      </w:r>
      <w:r w:rsidR="009836E9">
        <w:rPr>
          <w:rFonts w:ascii="Arial" w:hAnsi="Arial" w:cs="Arial"/>
          <w:sz w:val="24"/>
          <w:szCs w:val="24"/>
        </w:rPr>
        <w:t xml:space="preserve">ciento </w:t>
      </w:r>
      <w:r w:rsidR="00DA2F07">
        <w:rPr>
          <w:rFonts w:ascii="Arial" w:hAnsi="Arial" w:cs="Arial"/>
          <w:sz w:val="24"/>
          <w:szCs w:val="24"/>
        </w:rPr>
        <w:t>ochenta y seis</w:t>
      </w:r>
      <w:r>
        <w:rPr>
          <w:rFonts w:ascii="Arial" w:hAnsi="Arial" w:cs="Arial"/>
          <w:sz w:val="24"/>
          <w:szCs w:val="24"/>
        </w:rPr>
        <w:t xml:space="preserve">) ciudadanos, por lo que el equivalente al 2% (dos por ciento) es de </w:t>
      </w:r>
      <w:r w:rsidR="00F97002">
        <w:rPr>
          <w:rFonts w:ascii="Arial" w:hAnsi="Arial" w:cs="Arial"/>
          <w:b/>
          <w:sz w:val="24"/>
          <w:szCs w:val="24"/>
        </w:rPr>
        <w:t>1,</w:t>
      </w:r>
      <w:r w:rsidR="005B5F78">
        <w:rPr>
          <w:rFonts w:ascii="Arial" w:hAnsi="Arial" w:cs="Arial"/>
          <w:b/>
          <w:sz w:val="24"/>
          <w:szCs w:val="24"/>
        </w:rPr>
        <w:t>844</w:t>
      </w:r>
      <w:r>
        <w:rPr>
          <w:rFonts w:ascii="Arial" w:hAnsi="Arial" w:cs="Arial"/>
          <w:sz w:val="24"/>
          <w:szCs w:val="24"/>
        </w:rPr>
        <w:t xml:space="preserve">,(un mil </w:t>
      </w:r>
      <w:r w:rsidR="00DA2F07">
        <w:rPr>
          <w:rFonts w:ascii="Arial" w:hAnsi="Arial" w:cs="Arial"/>
          <w:sz w:val="24"/>
          <w:szCs w:val="24"/>
        </w:rPr>
        <w:t>ochocientos cuarenta y cuatro</w:t>
      </w:r>
      <w:r>
        <w:rPr>
          <w:rFonts w:ascii="Arial" w:hAnsi="Arial" w:cs="Arial"/>
          <w:sz w:val="24"/>
          <w:szCs w:val="24"/>
        </w:rPr>
        <w:t>)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9836E9">
        <w:rPr>
          <w:rFonts w:ascii="Arial" w:hAnsi="Arial" w:cs="Arial"/>
          <w:b/>
          <w:sz w:val="24"/>
          <w:szCs w:val="24"/>
        </w:rPr>
        <w:t>2,920</w:t>
      </w:r>
      <w:r w:rsidR="006111E4">
        <w:rPr>
          <w:rFonts w:ascii="Arial" w:hAnsi="Arial" w:cs="Arial"/>
          <w:sz w:val="24"/>
          <w:szCs w:val="24"/>
        </w:rPr>
        <w:t xml:space="preserve"> (</w:t>
      </w:r>
      <w:r w:rsidR="009836E9">
        <w:rPr>
          <w:rFonts w:ascii="Arial" w:hAnsi="Arial" w:cs="Arial"/>
          <w:sz w:val="24"/>
          <w:szCs w:val="24"/>
        </w:rPr>
        <w:t>dos</w:t>
      </w:r>
      <w:r w:rsidR="006111E4">
        <w:rPr>
          <w:rFonts w:ascii="Arial" w:hAnsi="Arial" w:cs="Arial"/>
          <w:sz w:val="24"/>
          <w:szCs w:val="24"/>
        </w:rPr>
        <w:t xml:space="preserve"> mil </w:t>
      </w:r>
      <w:r w:rsidR="009836E9">
        <w:rPr>
          <w:rFonts w:ascii="Arial" w:hAnsi="Arial" w:cs="Arial"/>
          <w:sz w:val="24"/>
          <w:szCs w:val="24"/>
        </w:rPr>
        <w:t>nove</w:t>
      </w:r>
      <w:r w:rsidR="006111E4">
        <w:rPr>
          <w:rFonts w:ascii="Arial" w:hAnsi="Arial" w:cs="Arial"/>
          <w:sz w:val="24"/>
          <w:szCs w:val="24"/>
        </w:rPr>
        <w:t xml:space="preserve">cientos </w:t>
      </w:r>
      <w:r w:rsidR="009836E9">
        <w:rPr>
          <w:rFonts w:ascii="Arial" w:hAnsi="Arial" w:cs="Arial"/>
          <w:sz w:val="24"/>
          <w:szCs w:val="24"/>
        </w:rPr>
        <w:t>veinte</w:t>
      </w:r>
      <w:r w:rsidR="006111E4">
        <w:rPr>
          <w:rFonts w:ascii="Arial" w:hAnsi="Arial" w:cs="Arial"/>
          <w:sz w:val="24"/>
          <w:szCs w:val="24"/>
        </w:rPr>
        <w:t>)</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6961" w:type="dxa"/>
        <w:jc w:val="center"/>
        <w:tblInd w:w="55" w:type="dxa"/>
        <w:tblCellMar>
          <w:left w:w="70" w:type="dxa"/>
          <w:right w:w="70" w:type="dxa"/>
        </w:tblCellMar>
        <w:tblLook w:val="04A0"/>
      </w:tblPr>
      <w:tblGrid>
        <w:gridCol w:w="1149"/>
        <w:gridCol w:w="1276"/>
        <w:gridCol w:w="2268"/>
        <w:gridCol w:w="2268"/>
      </w:tblGrid>
      <w:tr w:rsidR="00DA2F07" w:rsidRPr="00DA2F07" w:rsidTr="00DA2F07">
        <w:trPr>
          <w:trHeight w:val="315"/>
          <w:jc w:val="center"/>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2F07" w:rsidRPr="002842DE" w:rsidRDefault="00DA2F07" w:rsidP="00DA2F07">
            <w:pPr>
              <w:pStyle w:val="Sinespaciado"/>
              <w:jc w:val="center"/>
              <w:rPr>
                <w:rFonts w:ascii="Arial" w:hAnsi="Arial" w:cs="Arial"/>
                <w:b/>
                <w:sz w:val="20"/>
                <w:szCs w:val="20"/>
              </w:rPr>
            </w:pPr>
            <w:r w:rsidRPr="002842DE">
              <w:rPr>
                <w:rFonts w:ascii="Arial" w:hAnsi="Arial" w:cs="Arial"/>
                <w:b/>
                <w:sz w:val="20"/>
                <w:szCs w:val="20"/>
              </w:rPr>
              <w:t>SECCION</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DA2F07" w:rsidRPr="002842DE" w:rsidRDefault="00DA2F07" w:rsidP="00DA2F07">
            <w:pPr>
              <w:pStyle w:val="Sinespaciado"/>
              <w:jc w:val="center"/>
              <w:rPr>
                <w:rFonts w:ascii="Arial" w:hAnsi="Arial" w:cs="Arial"/>
                <w:b/>
                <w:sz w:val="20"/>
                <w:szCs w:val="20"/>
              </w:rPr>
            </w:pPr>
            <w:r w:rsidRPr="002842DE">
              <w:rPr>
                <w:rFonts w:ascii="Arial" w:hAnsi="Arial" w:cs="Arial"/>
                <w:b/>
                <w:sz w:val="20"/>
                <w:szCs w:val="20"/>
              </w:rPr>
              <w:t>LISTA NOMINAL</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DA2F07" w:rsidRPr="002842DE" w:rsidRDefault="00DA2F07" w:rsidP="00DA2F07">
            <w:pPr>
              <w:pStyle w:val="Sinespaciado"/>
              <w:jc w:val="center"/>
              <w:rPr>
                <w:rFonts w:ascii="Arial" w:hAnsi="Arial" w:cs="Arial"/>
                <w:b/>
                <w:sz w:val="20"/>
                <w:szCs w:val="20"/>
              </w:rPr>
            </w:pPr>
            <w:r w:rsidRPr="002842DE">
              <w:rPr>
                <w:rFonts w:ascii="Arial" w:hAnsi="Arial" w:cs="Arial"/>
                <w:b/>
                <w:sz w:val="20"/>
                <w:szCs w:val="20"/>
              </w:rPr>
              <w:t>MINIMO DE APOYO REQUERIDO POR SECCION</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DA2F07" w:rsidRPr="002842DE" w:rsidRDefault="00DA2F07" w:rsidP="00DA2F07">
            <w:pPr>
              <w:pStyle w:val="Sinespaciado"/>
              <w:jc w:val="center"/>
              <w:rPr>
                <w:rFonts w:ascii="Arial" w:hAnsi="Arial" w:cs="Arial"/>
                <w:b/>
                <w:sz w:val="20"/>
                <w:szCs w:val="20"/>
              </w:rPr>
            </w:pPr>
            <w:r w:rsidRPr="002842DE">
              <w:rPr>
                <w:rFonts w:ascii="Arial" w:hAnsi="Arial" w:cs="Arial"/>
                <w:b/>
                <w:sz w:val="20"/>
                <w:szCs w:val="20"/>
              </w:rPr>
              <w:t>APOYOS OBTENIDOS</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2699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368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2700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768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15</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2701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517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2702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665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2703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590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2707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529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2708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1059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2709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2710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476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2715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899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2716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750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2717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1500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2718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515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2719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439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2720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535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2721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770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2722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1177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lastRenderedPageBreak/>
              <w:t>2723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446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2724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455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2725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579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2726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256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2727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301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2728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2729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423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2730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715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2731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580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6</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2732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505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2733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665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2734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541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2735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582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2736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528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2737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1429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2752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465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2753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485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2754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548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2755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532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2756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247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2757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2758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267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2759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368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400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735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1001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826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221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412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395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28</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363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583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2770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701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2771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399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2772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348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13</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2773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371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2774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621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15</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2775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545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5</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2776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434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lastRenderedPageBreak/>
              <w:t>2777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474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2778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324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2779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337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416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502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5</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393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750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18</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667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420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474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352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502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2789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487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28</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2790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445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2791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648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2792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334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2793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327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2794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347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2795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403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2796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584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23</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2797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438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2818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525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2819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243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446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466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430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469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353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390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372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591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439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2829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1019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934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680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22</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1062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11</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549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1133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12</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lastRenderedPageBreak/>
              <w:t>2836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575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587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262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342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2840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195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2841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235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2842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433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2843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491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2844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417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2845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368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2846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510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2854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621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23</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2855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542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2856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512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2857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250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2858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237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2859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344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402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642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485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1320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30</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399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378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397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32</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325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0</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497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2869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646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618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865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745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217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341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312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422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12</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320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2879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1925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2889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651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346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lastRenderedPageBreak/>
              <w:t>2891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334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431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276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495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6</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439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458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263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0</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351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2899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249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2900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261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2901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707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2902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667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2903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648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2904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397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2908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129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2909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630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403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355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200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13</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226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435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244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456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2919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448</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9</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583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973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529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22</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546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359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252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6</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462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269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10</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2929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300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2930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379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2931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259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2932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195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2933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475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15</w:t>
            </w:r>
          </w:p>
        </w:tc>
      </w:tr>
      <w:tr w:rsidR="00DA2F07" w:rsidRPr="00DA2F07" w:rsidTr="00DA2F07">
        <w:trPr>
          <w:trHeight w:val="405"/>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lastRenderedPageBreak/>
              <w:t>2934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216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FFC000"/>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2935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369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2936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300</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28</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2937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403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2938</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546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2939</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645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7</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35</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2940</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399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2941</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23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2942</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402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19</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2943</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209</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2944</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392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4</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17</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2945</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121</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3</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2946</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235</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11</w:t>
            </w:r>
          </w:p>
        </w:tc>
      </w:tr>
      <w:tr w:rsidR="00DA2F07" w:rsidRPr="00DA2F07" w:rsidTr="00DA2F07">
        <w:trPr>
          <w:trHeight w:val="300"/>
          <w:jc w:val="center"/>
        </w:trPr>
        <w:tc>
          <w:tcPr>
            <w:tcW w:w="1149" w:type="dxa"/>
            <w:tcBorders>
              <w:top w:val="nil"/>
              <w:left w:val="single" w:sz="4" w:space="0" w:color="000000"/>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2947</w:t>
            </w:r>
          </w:p>
        </w:tc>
        <w:tc>
          <w:tcPr>
            <w:tcW w:w="1276"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right"/>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283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spacing w:after="0" w:line="240" w:lineRule="auto"/>
              <w:jc w:val="center"/>
              <w:rPr>
                <w:rFonts w:ascii="Arial" w:eastAsia="Times New Roman" w:hAnsi="Arial" w:cs="Arial"/>
                <w:color w:val="000000"/>
                <w:sz w:val="24"/>
                <w:szCs w:val="24"/>
                <w:lang w:eastAsia="es-MX"/>
              </w:rPr>
            </w:pPr>
            <w:r w:rsidRPr="00DA2F07">
              <w:rPr>
                <w:rFonts w:ascii="Arial" w:eastAsia="Times New Roman" w:hAnsi="Arial" w:cs="Arial"/>
                <w:color w:val="000000"/>
                <w:sz w:val="24"/>
                <w:szCs w:val="24"/>
                <w:lang w:eastAsia="es-MX"/>
              </w:rPr>
              <w:t>3</w:t>
            </w:r>
          </w:p>
        </w:tc>
        <w:tc>
          <w:tcPr>
            <w:tcW w:w="2268" w:type="dxa"/>
            <w:tcBorders>
              <w:top w:val="nil"/>
              <w:left w:val="nil"/>
              <w:bottom w:val="single" w:sz="4" w:space="0" w:color="000000"/>
              <w:right w:val="single" w:sz="4" w:space="0" w:color="000000"/>
            </w:tcBorders>
            <w:shd w:val="clear" w:color="auto" w:fill="auto"/>
            <w:vAlign w:val="bottom"/>
            <w:hideMark/>
          </w:tcPr>
          <w:p w:rsidR="00DA2F07" w:rsidRPr="00DA2F07" w:rsidRDefault="00DA2F07" w:rsidP="00DA2F07">
            <w:pPr>
              <w:pStyle w:val="Sinespaciado"/>
              <w:jc w:val="center"/>
              <w:rPr>
                <w:rFonts w:ascii="Arial" w:hAnsi="Arial" w:cs="Arial"/>
                <w:sz w:val="24"/>
                <w:szCs w:val="24"/>
              </w:rPr>
            </w:pPr>
            <w:r w:rsidRPr="00DA2F07">
              <w:rPr>
                <w:rFonts w:ascii="Arial" w:hAnsi="Arial" w:cs="Arial"/>
                <w:sz w:val="24"/>
                <w:szCs w:val="24"/>
              </w:rPr>
              <w:t>4</w:t>
            </w:r>
          </w:p>
        </w:tc>
      </w:tr>
    </w:tbl>
    <w:p w:rsidR="00494D90" w:rsidRDefault="00494D90"/>
    <w:p w:rsidR="00494D90" w:rsidRDefault="00494D90"/>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7351C6">
        <w:rPr>
          <w:rFonts w:ascii="Arial" w:hAnsi="Arial" w:cs="Arial"/>
          <w:sz w:val="24"/>
          <w:szCs w:val="24"/>
        </w:rPr>
        <w:t>David Armando González Torrentera</w:t>
      </w:r>
      <w:r w:rsidR="001636F8">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2842DE">
        <w:rPr>
          <w:rFonts w:ascii="Arial" w:hAnsi="Arial" w:cs="Arial"/>
          <w:sz w:val="24"/>
          <w:szCs w:val="24"/>
        </w:rPr>
        <w:t>1</w:t>
      </w:r>
      <w:r w:rsidR="00DA2F07">
        <w:rPr>
          <w:rFonts w:ascii="Arial" w:hAnsi="Arial" w:cs="Arial"/>
          <w:sz w:val="24"/>
          <w:szCs w:val="24"/>
        </w:rPr>
        <w:t>52</w:t>
      </w:r>
      <w:r>
        <w:rPr>
          <w:rFonts w:ascii="Arial" w:hAnsi="Arial" w:cs="Arial"/>
          <w:sz w:val="24"/>
          <w:szCs w:val="24"/>
        </w:rPr>
        <w:t xml:space="preserve"> secciones del distrito, que representan el </w:t>
      </w:r>
      <w:r w:rsidR="00DA2F07">
        <w:rPr>
          <w:rFonts w:ascii="Arial" w:hAnsi="Arial" w:cs="Arial"/>
          <w:sz w:val="24"/>
          <w:szCs w:val="24"/>
        </w:rPr>
        <w:t>80.42</w:t>
      </w:r>
      <w:r w:rsidRPr="0086785D">
        <w:rPr>
          <w:rFonts w:ascii="Arial" w:hAnsi="Arial" w:cs="Arial"/>
          <w:b/>
          <w:sz w:val="24"/>
          <w:szCs w:val="24"/>
        </w:rPr>
        <w:t>%</w:t>
      </w:r>
      <w:r w:rsidR="0086785D">
        <w:rPr>
          <w:rFonts w:ascii="Arial" w:hAnsi="Arial" w:cs="Arial"/>
          <w:sz w:val="24"/>
          <w:szCs w:val="24"/>
        </w:rPr>
        <w:t xml:space="preserve"> (</w:t>
      </w:r>
      <w:r w:rsidR="00DA2F07">
        <w:rPr>
          <w:rFonts w:ascii="Arial" w:hAnsi="Arial" w:cs="Arial"/>
          <w:sz w:val="24"/>
          <w:szCs w:val="24"/>
        </w:rPr>
        <w:t>ochenta</w:t>
      </w:r>
      <w:r w:rsidR="002842DE">
        <w:rPr>
          <w:rFonts w:ascii="Arial" w:hAnsi="Arial" w:cs="Arial"/>
          <w:sz w:val="24"/>
          <w:szCs w:val="24"/>
        </w:rPr>
        <w:t xml:space="preserve"> </w:t>
      </w:r>
      <w:r w:rsidR="0086785D">
        <w:rPr>
          <w:rFonts w:ascii="Arial" w:hAnsi="Arial" w:cs="Arial"/>
          <w:sz w:val="24"/>
          <w:szCs w:val="24"/>
        </w:rPr>
        <w:t xml:space="preserve">punto </w:t>
      </w:r>
      <w:r w:rsidR="00DA2F07">
        <w:rPr>
          <w:rFonts w:ascii="Arial" w:hAnsi="Arial" w:cs="Arial"/>
          <w:sz w:val="24"/>
          <w:szCs w:val="24"/>
        </w:rPr>
        <w:t>cuarenta y dos</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w:t>
      </w:r>
      <w:r w:rsidR="00DA2F07">
        <w:rPr>
          <w:rFonts w:ascii="Arial" w:hAnsi="Arial" w:cs="Arial"/>
          <w:sz w:val="24"/>
          <w:szCs w:val="24"/>
        </w:rPr>
        <w:t xml:space="preserve">no aplica ya que el distrito 22 </w:t>
      </w:r>
      <w:r w:rsidR="00D96A9C">
        <w:rPr>
          <w:rFonts w:ascii="Arial" w:hAnsi="Arial" w:cs="Arial"/>
          <w:sz w:val="24"/>
          <w:szCs w:val="24"/>
        </w:rPr>
        <w:t xml:space="preserve">se compone por </w:t>
      </w:r>
      <w:r w:rsidR="002842DE">
        <w:rPr>
          <w:rFonts w:ascii="Arial" w:hAnsi="Arial" w:cs="Arial"/>
          <w:sz w:val="24"/>
          <w:szCs w:val="24"/>
        </w:rPr>
        <w:t>parte del territorio del municipio de Mazatlán</w:t>
      </w:r>
      <w:r w:rsidR="006C3D23">
        <w:rPr>
          <w:rFonts w:ascii="Arial" w:hAnsi="Arial" w:cs="Arial"/>
          <w:sz w:val="24"/>
          <w:szCs w:val="24"/>
        </w:rPr>
        <w:t xml:space="preserve">, </w:t>
      </w:r>
      <w:r w:rsidR="001E4113">
        <w:rPr>
          <w:rFonts w:ascii="Arial" w:hAnsi="Arial" w:cs="Arial"/>
          <w:sz w:val="24"/>
          <w:szCs w:val="24"/>
        </w:rPr>
        <w:t xml:space="preserve">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7351C6">
        <w:rPr>
          <w:rFonts w:ascii="Arial" w:hAnsi="Arial" w:cs="Arial"/>
          <w:sz w:val="24"/>
          <w:szCs w:val="24"/>
        </w:rPr>
        <w:t>David Armando González Torrentera</w:t>
      </w:r>
      <w:r w:rsidR="001636F8">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B62E3E">
        <w:rPr>
          <w:rFonts w:ascii="Arial" w:hAnsi="Arial" w:cs="Arial"/>
          <w:sz w:val="24"/>
          <w:szCs w:val="24"/>
        </w:rPr>
        <w:t xml:space="preserve">distrito electoral </w:t>
      </w:r>
      <w:r w:rsidR="002842DE">
        <w:rPr>
          <w:rFonts w:ascii="Arial" w:hAnsi="Arial" w:cs="Arial"/>
          <w:sz w:val="24"/>
          <w:szCs w:val="24"/>
        </w:rPr>
        <w:t>2</w:t>
      </w:r>
      <w:r w:rsidR="00F76CCB">
        <w:rPr>
          <w:rFonts w:ascii="Arial" w:hAnsi="Arial" w:cs="Arial"/>
          <w:sz w:val="24"/>
          <w:szCs w:val="24"/>
        </w:rPr>
        <w:t>2</w:t>
      </w:r>
      <w:r w:rsidR="0086785D">
        <w:rPr>
          <w:rFonts w:ascii="Arial" w:hAnsi="Arial" w:cs="Arial"/>
          <w:sz w:val="24"/>
          <w:szCs w:val="24"/>
        </w:rPr>
        <w:t xml:space="preserve">, con cabecera en la ciudad de </w:t>
      </w:r>
      <w:r w:rsidR="008E6131">
        <w:rPr>
          <w:rFonts w:ascii="Arial" w:hAnsi="Arial" w:cs="Arial"/>
          <w:sz w:val="24"/>
          <w:szCs w:val="24"/>
        </w:rPr>
        <w:t>Mazatlán</w:t>
      </w:r>
      <w:r w:rsidR="00CF083F">
        <w:rPr>
          <w:rFonts w:ascii="Arial" w:hAnsi="Arial" w:cs="Arial"/>
          <w:sz w:val="24"/>
          <w:szCs w:val="24"/>
        </w:rPr>
        <w:t>,</w:t>
      </w:r>
      <w:r w:rsidR="001636F8">
        <w:rPr>
          <w:rFonts w:ascii="Arial" w:hAnsi="Arial" w:cs="Arial"/>
          <w:sz w:val="24"/>
          <w:szCs w:val="24"/>
        </w:rPr>
        <w:t xml:space="preserve"> </w:t>
      </w:r>
      <w:r w:rsidR="0086785D">
        <w:rPr>
          <w:rFonts w:ascii="Arial" w:hAnsi="Arial" w:cs="Arial"/>
          <w:sz w:val="24"/>
          <w:szCs w:val="24"/>
        </w:rPr>
        <w:t>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---En virtud de los resultados y considerandos que anteceden y preceptos legales invocados con antelación, el Consejo </w:t>
      </w:r>
      <w:r w:rsidR="00C063DB">
        <w:rPr>
          <w:rFonts w:ascii="Arial" w:hAnsi="Arial" w:cs="Arial"/>
          <w:sz w:val="24"/>
          <w:szCs w:val="24"/>
        </w:rPr>
        <w:t>Distrtial 2</w:t>
      </w:r>
      <w:r w:rsidR="00F76CCB">
        <w:rPr>
          <w:rFonts w:ascii="Arial" w:hAnsi="Arial" w:cs="Arial"/>
          <w:sz w:val="24"/>
          <w:szCs w:val="24"/>
        </w:rPr>
        <w:t>2</w:t>
      </w:r>
      <w:r w:rsidR="00EA6E03">
        <w:rPr>
          <w:rFonts w:ascii="Arial" w:hAnsi="Arial" w:cs="Arial"/>
          <w:sz w:val="24"/>
          <w:szCs w:val="24"/>
        </w:rPr>
        <w:t xml:space="preserve"> </w:t>
      </w:r>
      <w:r>
        <w:rPr>
          <w:rFonts w:ascii="Arial" w:hAnsi="Arial" w:cs="Arial"/>
          <w:sz w:val="24"/>
          <w:szCs w:val="24"/>
        </w:rPr>
        <w:t>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Se tiene por presentada en tiempo y forma la solicitud de registro de la fórmula de candid</w:t>
      </w:r>
      <w:r w:rsidR="00396EFF">
        <w:rPr>
          <w:rFonts w:ascii="Arial" w:hAnsi="Arial" w:cs="Arial"/>
          <w:sz w:val="24"/>
          <w:szCs w:val="24"/>
        </w:rPr>
        <w:t>aturas independientes a diputado</w:t>
      </w:r>
      <w:r>
        <w:rPr>
          <w:rFonts w:ascii="Arial" w:hAnsi="Arial" w:cs="Arial"/>
          <w:sz w:val="24"/>
          <w:szCs w:val="24"/>
        </w:rPr>
        <w:t xml:space="preserve"> local por el principio de mayoría relativa, para el </w:t>
      </w:r>
      <w:r w:rsidR="00B62E3E">
        <w:rPr>
          <w:rFonts w:ascii="Arial" w:hAnsi="Arial" w:cs="Arial"/>
          <w:sz w:val="24"/>
          <w:szCs w:val="24"/>
        </w:rPr>
        <w:t xml:space="preserve">distrito electoral </w:t>
      </w:r>
      <w:r w:rsidR="00071828">
        <w:rPr>
          <w:rFonts w:ascii="Arial" w:hAnsi="Arial" w:cs="Arial"/>
          <w:sz w:val="24"/>
          <w:szCs w:val="24"/>
        </w:rPr>
        <w:t>2</w:t>
      </w:r>
      <w:r w:rsidR="00F76CCB">
        <w:rPr>
          <w:rFonts w:ascii="Arial" w:hAnsi="Arial" w:cs="Arial"/>
          <w:sz w:val="24"/>
          <w:szCs w:val="24"/>
        </w:rPr>
        <w:t>2</w:t>
      </w:r>
      <w:r>
        <w:rPr>
          <w:rFonts w:ascii="Arial" w:hAnsi="Arial" w:cs="Arial"/>
          <w:sz w:val="24"/>
          <w:szCs w:val="24"/>
        </w:rPr>
        <w:t xml:space="preserve">, con cabecera en la ciudad de </w:t>
      </w:r>
      <w:r w:rsidR="00F76CCB">
        <w:rPr>
          <w:rFonts w:ascii="Arial" w:hAnsi="Arial" w:cs="Arial"/>
          <w:sz w:val="24"/>
          <w:szCs w:val="24"/>
        </w:rPr>
        <w:t>Mazatlán</w:t>
      </w:r>
      <w:r w:rsidR="00CF083F">
        <w:rPr>
          <w:rFonts w:ascii="Arial" w:hAnsi="Arial" w:cs="Arial"/>
          <w:sz w:val="24"/>
          <w:szCs w:val="24"/>
        </w:rPr>
        <w:t>,</w:t>
      </w:r>
      <w:r w:rsidR="00E62E8E">
        <w:rPr>
          <w:rFonts w:ascii="Arial" w:hAnsi="Arial" w:cs="Arial"/>
          <w:sz w:val="24"/>
          <w:szCs w:val="24"/>
        </w:rPr>
        <w:t xml:space="preserve"> </w:t>
      </w:r>
      <w:r>
        <w:rPr>
          <w:rFonts w:ascii="Arial" w:hAnsi="Arial" w:cs="Arial"/>
          <w:sz w:val="24"/>
          <w:szCs w:val="24"/>
        </w:rPr>
        <w:t xml:space="preserve">Sinaloa, </w:t>
      </w:r>
      <w:r w:rsidR="00E62E8E">
        <w:rPr>
          <w:rFonts w:ascii="Arial" w:hAnsi="Arial" w:cs="Arial"/>
          <w:sz w:val="24"/>
          <w:szCs w:val="24"/>
        </w:rPr>
        <w:t>presentada por l</w:t>
      </w:r>
      <w:r w:rsidR="0034569F">
        <w:rPr>
          <w:rFonts w:ascii="Arial" w:hAnsi="Arial" w:cs="Arial"/>
          <w:sz w:val="24"/>
          <w:szCs w:val="24"/>
        </w:rPr>
        <w:t>o</w:t>
      </w:r>
      <w:r>
        <w:rPr>
          <w:rFonts w:ascii="Arial" w:hAnsi="Arial" w:cs="Arial"/>
          <w:sz w:val="24"/>
          <w:szCs w:val="24"/>
        </w:rPr>
        <w:t xml:space="preserve">s C. C. </w:t>
      </w:r>
      <w:r w:rsidR="007351C6">
        <w:rPr>
          <w:rFonts w:ascii="Arial" w:hAnsi="Arial" w:cs="Arial"/>
          <w:sz w:val="24"/>
          <w:szCs w:val="24"/>
        </w:rPr>
        <w:t>David Armando González Torrentera</w:t>
      </w:r>
      <w:r w:rsidR="00E62E8E">
        <w:rPr>
          <w:rFonts w:ascii="Arial" w:hAnsi="Arial" w:cs="Arial"/>
          <w:sz w:val="24"/>
          <w:szCs w:val="24"/>
        </w:rPr>
        <w:t xml:space="preserve"> </w:t>
      </w:r>
      <w:r>
        <w:rPr>
          <w:rFonts w:ascii="Arial" w:hAnsi="Arial" w:cs="Arial"/>
          <w:sz w:val="24"/>
          <w:szCs w:val="24"/>
        </w:rPr>
        <w:t xml:space="preserve">y </w:t>
      </w:r>
      <w:r w:rsidR="00EF52ED">
        <w:rPr>
          <w:rFonts w:ascii="Arial" w:hAnsi="Arial" w:cs="Arial"/>
          <w:sz w:val="24"/>
          <w:szCs w:val="24"/>
        </w:rPr>
        <w:t xml:space="preserve">Lucia </w:t>
      </w:r>
      <w:proofErr w:type="spellStart"/>
      <w:r w:rsidR="00EF52ED">
        <w:rPr>
          <w:rFonts w:ascii="Arial" w:hAnsi="Arial" w:cs="Arial"/>
          <w:sz w:val="24"/>
          <w:szCs w:val="24"/>
        </w:rPr>
        <w:t>Estefany</w:t>
      </w:r>
      <w:proofErr w:type="spellEnd"/>
      <w:r w:rsidR="00EF52ED">
        <w:rPr>
          <w:rFonts w:ascii="Arial" w:hAnsi="Arial" w:cs="Arial"/>
          <w:sz w:val="24"/>
          <w:szCs w:val="24"/>
        </w:rPr>
        <w:t xml:space="preserve"> García </w:t>
      </w:r>
      <w:proofErr w:type="spellStart"/>
      <w:r w:rsidR="00EF52ED">
        <w:rPr>
          <w:rFonts w:ascii="Arial" w:hAnsi="Arial" w:cs="Arial"/>
          <w:sz w:val="24"/>
          <w:szCs w:val="24"/>
        </w:rPr>
        <w:t>Ará</w:t>
      </w:r>
      <w:r w:rsidR="007351C6">
        <w:rPr>
          <w:rFonts w:ascii="Arial" w:hAnsi="Arial" w:cs="Arial"/>
          <w:sz w:val="24"/>
          <w:szCs w:val="24"/>
        </w:rPr>
        <w:t>mburo</w:t>
      </w:r>
      <w:proofErr w:type="spellEnd"/>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2842DE">
        <w:rPr>
          <w:rFonts w:ascii="Arial" w:hAnsi="Arial" w:cs="Arial"/>
          <w:sz w:val="24"/>
          <w:szCs w:val="24"/>
        </w:rPr>
        <w:t>2</w:t>
      </w:r>
      <w:r w:rsidR="00F76CCB">
        <w:rPr>
          <w:rFonts w:ascii="Arial" w:hAnsi="Arial" w:cs="Arial"/>
          <w:sz w:val="24"/>
          <w:szCs w:val="24"/>
        </w:rPr>
        <w:t>2</w:t>
      </w:r>
      <w:r w:rsidR="00EA6E03" w:rsidRPr="00EA6E03">
        <w:rPr>
          <w:rFonts w:ascii="Arial" w:hAnsi="Arial" w:cs="Arial"/>
          <w:sz w:val="24"/>
          <w:szCs w:val="24"/>
        </w:rPr>
        <w:t xml:space="preserve">, con cabecera en la ciudad de </w:t>
      </w:r>
      <w:r w:rsidR="00DD1AC9">
        <w:rPr>
          <w:rFonts w:ascii="Arial" w:hAnsi="Arial" w:cs="Arial"/>
          <w:sz w:val="24"/>
          <w:szCs w:val="24"/>
        </w:rPr>
        <w:t>Mazatlán</w:t>
      </w:r>
      <w:r w:rsidR="00CF083F">
        <w:rPr>
          <w:rFonts w:ascii="Arial" w:hAnsi="Arial" w:cs="Arial"/>
          <w:sz w:val="24"/>
          <w:szCs w:val="24"/>
        </w:rPr>
        <w:t>,</w:t>
      </w:r>
      <w:r w:rsidR="00E62E8E">
        <w:rPr>
          <w:rFonts w:ascii="Arial" w:hAnsi="Arial" w:cs="Arial"/>
          <w:sz w:val="24"/>
          <w:szCs w:val="24"/>
        </w:rPr>
        <w:t xml:space="preserve"> </w:t>
      </w:r>
      <w:r w:rsidR="00EA6E03" w:rsidRPr="00EA6E03">
        <w:rPr>
          <w:rFonts w:ascii="Arial" w:hAnsi="Arial" w:cs="Arial"/>
          <w:sz w:val="24"/>
          <w:szCs w:val="24"/>
        </w:rPr>
        <w:t xml:space="preserve">Sinaloa, </w:t>
      </w:r>
      <w:r w:rsidR="0086566B" w:rsidRPr="00EA6E03">
        <w:rPr>
          <w:rFonts w:ascii="Arial" w:hAnsi="Arial" w:cs="Arial"/>
          <w:sz w:val="24"/>
          <w:szCs w:val="24"/>
        </w:rPr>
        <w:t xml:space="preserve">presentadas por </w:t>
      </w:r>
      <w:r w:rsidR="00A979DA">
        <w:rPr>
          <w:rFonts w:ascii="Arial" w:hAnsi="Arial" w:cs="Arial"/>
          <w:sz w:val="24"/>
          <w:szCs w:val="24"/>
        </w:rPr>
        <w:t>l</w:t>
      </w:r>
      <w:r w:rsidR="0034569F">
        <w:rPr>
          <w:rFonts w:ascii="Arial" w:hAnsi="Arial" w:cs="Arial"/>
          <w:sz w:val="24"/>
          <w:szCs w:val="24"/>
        </w:rPr>
        <w:t>o</w:t>
      </w:r>
      <w:r w:rsidR="00A979DA">
        <w:rPr>
          <w:rFonts w:ascii="Arial" w:hAnsi="Arial" w:cs="Arial"/>
          <w:sz w:val="24"/>
          <w:szCs w:val="24"/>
        </w:rPr>
        <w:t>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7351C6">
        <w:rPr>
          <w:rFonts w:ascii="Arial" w:hAnsi="Arial" w:cs="Arial"/>
          <w:b/>
          <w:sz w:val="24"/>
          <w:szCs w:val="24"/>
        </w:rPr>
        <w:t>David Armando González Torrentera</w:t>
      </w:r>
      <w:r w:rsidR="00876948">
        <w:rPr>
          <w:rFonts w:ascii="Arial" w:hAnsi="Arial" w:cs="Arial"/>
          <w:b/>
          <w:sz w:val="24"/>
          <w:szCs w:val="24"/>
        </w:rPr>
        <w:t xml:space="preserve"> </w:t>
      </w:r>
      <w:r w:rsidR="00A979DA" w:rsidRPr="00BA3C6D">
        <w:rPr>
          <w:rFonts w:ascii="Arial" w:hAnsi="Arial" w:cs="Arial"/>
          <w:b/>
          <w:sz w:val="24"/>
          <w:szCs w:val="24"/>
        </w:rPr>
        <w:t xml:space="preserve">y </w:t>
      </w:r>
      <w:r w:rsidR="007351C6">
        <w:rPr>
          <w:rFonts w:ascii="Arial" w:hAnsi="Arial" w:cs="Arial"/>
          <w:b/>
          <w:sz w:val="24"/>
          <w:szCs w:val="24"/>
        </w:rPr>
        <w:t>Lu</w:t>
      </w:r>
      <w:bookmarkStart w:id="0" w:name="_GoBack"/>
      <w:bookmarkEnd w:id="0"/>
      <w:r w:rsidR="00EF52ED">
        <w:rPr>
          <w:rFonts w:ascii="Arial" w:hAnsi="Arial" w:cs="Arial"/>
          <w:b/>
          <w:sz w:val="24"/>
          <w:szCs w:val="24"/>
        </w:rPr>
        <w:t>cia Estefany García Ará</w:t>
      </w:r>
      <w:r w:rsidR="007351C6">
        <w:rPr>
          <w:rFonts w:ascii="Arial" w:hAnsi="Arial" w:cs="Arial"/>
          <w:b/>
          <w:sz w:val="24"/>
          <w:szCs w:val="24"/>
        </w:rPr>
        <w:t>mburo</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7351C6">
        <w:rPr>
          <w:rFonts w:ascii="Arial" w:hAnsi="Arial" w:cs="Arial"/>
          <w:sz w:val="24"/>
          <w:szCs w:val="24"/>
        </w:rPr>
        <w:t>David Armando González Torrentera</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 xml:space="preserve">Consejo </w:t>
      </w:r>
      <w:r w:rsidR="007351C6">
        <w:rPr>
          <w:rFonts w:ascii="Arial" w:eastAsia="Times New Roman" w:hAnsi="Arial" w:cs="Arial"/>
          <w:b/>
          <w:bCs/>
          <w:sz w:val="24"/>
          <w:szCs w:val="23"/>
          <w:lang w:val="es-ES" w:eastAsia="es-ES"/>
        </w:rPr>
        <w:t>Distrital 22</w:t>
      </w:r>
      <w:r w:rsidR="005D4849">
        <w:rPr>
          <w:rFonts w:ascii="Arial" w:eastAsia="Times New Roman" w:hAnsi="Arial" w:cs="Arial"/>
          <w:b/>
          <w:bCs/>
          <w:sz w:val="24"/>
          <w:szCs w:val="23"/>
          <w:lang w:val="es-ES" w:eastAsia="es-ES"/>
        </w:rPr>
        <w:t>.</w:t>
      </w:r>
    </w:p>
    <w:tbl>
      <w:tblPr>
        <w:tblpPr w:leftFromText="141" w:rightFromText="141" w:vertAnchor="text" w:horzAnchor="margin" w:tblpY="8"/>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66"/>
      </w:tblGrid>
      <w:tr w:rsidR="005D4849" w:rsidTr="001B64E7">
        <w:trPr>
          <w:trHeight w:val="546"/>
        </w:trPr>
        <w:tc>
          <w:tcPr>
            <w:tcW w:w="4566" w:type="dxa"/>
            <w:tcBorders>
              <w:top w:val="nil"/>
              <w:left w:val="nil"/>
              <w:bottom w:val="nil"/>
              <w:right w:val="nil"/>
            </w:tcBorders>
            <w:hideMark/>
          </w:tcPr>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r>
              <w:rPr>
                <w:rFonts w:eastAsiaTheme="minorEastAsia" w:cs="Arial"/>
              </w:rPr>
              <w:t>DRA.  ADELA MORALES PARRA</w:t>
            </w:r>
          </w:p>
          <w:p w:rsidR="005D4849" w:rsidRPr="002F03C2" w:rsidRDefault="005D4849" w:rsidP="001B64E7">
            <w:pPr>
              <w:rPr>
                <w:rFonts w:eastAsiaTheme="minorEastAsia"/>
                <w:b/>
                <w:lang w:val="es-ES"/>
              </w:rPr>
            </w:pPr>
            <w:r w:rsidRPr="002F03C2">
              <w:rPr>
                <w:rFonts w:eastAsiaTheme="minorEastAsia"/>
                <w:b/>
                <w:lang w:val="es-ES"/>
              </w:rPr>
              <w:t>CONSEJERA PRESIDENTA</w:t>
            </w:r>
          </w:p>
          <w:p w:rsidR="005D4849" w:rsidRDefault="005D4849" w:rsidP="001B64E7">
            <w:pPr>
              <w:tabs>
                <w:tab w:val="right" w:leader="hyphen" w:pos="9356"/>
              </w:tabs>
              <w:rPr>
                <w:rFonts w:ascii="Arial" w:hAnsi="Arial" w:cs="Arial"/>
                <w:sz w:val="24"/>
              </w:rPr>
            </w:pPr>
          </w:p>
        </w:tc>
      </w:tr>
    </w:tbl>
    <w:p w:rsidR="005D4849" w:rsidRDefault="005D4849" w:rsidP="005D4849">
      <w:pPr>
        <w:tabs>
          <w:tab w:val="right" w:leader="hyphen" w:pos="9356"/>
        </w:tabs>
        <w:autoSpaceDE w:val="0"/>
        <w:autoSpaceDN w:val="0"/>
        <w:adjustRightInd w:val="0"/>
        <w:jc w:val="both"/>
        <w:rPr>
          <w:rFonts w:ascii="Arial" w:hAnsi="Arial" w:cs="Arial"/>
          <w:sz w:val="24"/>
        </w:rPr>
      </w:pPr>
    </w:p>
    <w:p w:rsidR="005D4849" w:rsidRDefault="005D4849" w:rsidP="005D4849">
      <w:pPr>
        <w:tabs>
          <w:tab w:val="right" w:leader="hyphen" w:pos="9356"/>
        </w:tabs>
        <w:autoSpaceDE w:val="0"/>
        <w:autoSpaceDN w:val="0"/>
        <w:adjustRightInd w:val="0"/>
        <w:jc w:val="both"/>
        <w:rPr>
          <w:rFonts w:ascii="Arial" w:hAnsi="Arial" w:cs="Arial"/>
          <w:sz w:val="24"/>
        </w:rPr>
      </w:pPr>
    </w:p>
    <w:p w:rsidR="005D4849" w:rsidRDefault="005D4849" w:rsidP="005D4849">
      <w:pPr>
        <w:tabs>
          <w:tab w:val="right" w:leader="hyphen" w:pos="9356"/>
        </w:tabs>
        <w:autoSpaceDE w:val="0"/>
        <w:autoSpaceDN w:val="0"/>
        <w:adjustRightInd w:val="0"/>
        <w:jc w:val="both"/>
        <w:rPr>
          <w:rFonts w:ascii="Arial" w:hAnsi="Arial" w:cs="Arial"/>
          <w:sz w:val="24"/>
        </w:rPr>
      </w:pPr>
    </w:p>
    <w:p w:rsidR="005D4849" w:rsidRDefault="005D4849" w:rsidP="005D4849">
      <w:pPr>
        <w:tabs>
          <w:tab w:val="right" w:leader="hyphen" w:pos="9356"/>
        </w:tabs>
        <w:autoSpaceDE w:val="0"/>
        <w:autoSpaceDN w:val="0"/>
        <w:adjustRightInd w:val="0"/>
        <w:jc w:val="both"/>
        <w:rPr>
          <w:rFonts w:ascii="Arial" w:hAnsi="Arial" w:cs="Arial"/>
          <w:sz w:val="24"/>
        </w:rPr>
      </w:pPr>
    </w:p>
    <w:tbl>
      <w:tblPr>
        <w:tblpPr w:leftFromText="141" w:rightFromText="141" w:vertAnchor="text" w:horzAnchor="margin" w:tblpXSpec="right" w:tblpY="8"/>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66"/>
      </w:tblGrid>
      <w:tr w:rsidR="005D4849" w:rsidTr="001B64E7">
        <w:trPr>
          <w:trHeight w:val="544"/>
        </w:trPr>
        <w:tc>
          <w:tcPr>
            <w:tcW w:w="4566" w:type="dxa"/>
            <w:tcBorders>
              <w:top w:val="nil"/>
              <w:left w:val="nil"/>
              <w:bottom w:val="nil"/>
              <w:right w:val="nil"/>
            </w:tcBorders>
            <w:hideMark/>
          </w:tcPr>
          <w:p w:rsidR="005D4849" w:rsidRDefault="005D4849" w:rsidP="005D4849">
            <w:pPr>
              <w:pStyle w:val="Ttulo2"/>
              <w:tabs>
                <w:tab w:val="right" w:leader="hyphen" w:pos="9356"/>
              </w:tabs>
              <w:rPr>
                <w:rFonts w:eastAsiaTheme="minorEastAsia" w:cs="Arial"/>
              </w:rPr>
            </w:pPr>
            <w:r>
              <w:rPr>
                <w:rFonts w:eastAsiaTheme="minorEastAsia" w:cs="Arial"/>
              </w:rPr>
              <w:t>LIC. JESÚS EDUARDO PADILLA GRACIANO</w:t>
            </w:r>
          </w:p>
          <w:p w:rsidR="005D4849" w:rsidRDefault="005D4849" w:rsidP="005D4849">
            <w:pPr>
              <w:pStyle w:val="Ttulo2"/>
              <w:tabs>
                <w:tab w:val="right" w:leader="hyphen" w:pos="9356"/>
              </w:tabs>
              <w:rPr>
                <w:rFonts w:eastAsiaTheme="minorEastAsia" w:cs="Arial"/>
              </w:rPr>
            </w:pPr>
            <w:r w:rsidRPr="002F03C2">
              <w:rPr>
                <w:rFonts w:cs="Arial"/>
                <w:sz w:val="18"/>
                <w:szCs w:val="18"/>
              </w:rPr>
              <w:t>SECRETARIO</w:t>
            </w: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Default="005D4849" w:rsidP="001B64E7">
            <w:pPr>
              <w:pStyle w:val="Ttulo2"/>
              <w:tabs>
                <w:tab w:val="right" w:leader="hyphen" w:pos="9356"/>
              </w:tabs>
              <w:rPr>
                <w:rFonts w:eastAsiaTheme="minorEastAsia" w:cs="Arial"/>
              </w:rPr>
            </w:pPr>
          </w:p>
          <w:p w:rsidR="005D4849" w:rsidRPr="002F03C2" w:rsidRDefault="005D4849" w:rsidP="005D4849">
            <w:pPr>
              <w:pStyle w:val="Ttulo2"/>
              <w:tabs>
                <w:tab w:val="right" w:leader="hyphen" w:pos="9356"/>
              </w:tabs>
              <w:rPr>
                <w:rFonts w:cs="Arial"/>
                <w:b w:val="0"/>
                <w:sz w:val="18"/>
                <w:szCs w:val="18"/>
              </w:rPr>
            </w:pPr>
          </w:p>
          <w:p w:rsidR="005D4849" w:rsidRPr="002F03C2" w:rsidRDefault="005D4849" w:rsidP="001B64E7">
            <w:pPr>
              <w:tabs>
                <w:tab w:val="right" w:leader="hyphen" w:pos="9356"/>
              </w:tabs>
              <w:rPr>
                <w:rFonts w:ascii="Arial" w:hAnsi="Arial" w:cs="Arial"/>
                <w:b/>
                <w:sz w:val="18"/>
                <w:szCs w:val="18"/>
              </w:rPr>
            </w:pPr>
            <w:r w:rsidRPr="002F03C2">
              <w:rPr>
                <w:rFonts w:ascii="Arial" w:hAnsi="Arial" w:cs="Arial"/>
                <w:b/>
                <w:sz w:val="18"/>
                <w:szCs w:val="18"/>
              </w:rPr>
              <w:t xml:space="preserve"> </w:t>
            </w:r>
          </w:p>
        </w:tc>
      </w:tr>
    </w:tbl>
    <w:p w:rsidR="005D4849" w:rsidRDefault="005D4849"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5D4849" w:rsidRDefault="005D4849"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5D4849" w:rsidRDefault="005D4849"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5D4849" w:rsidRDefault="005D4849"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5D4849" w:rsidRDefault="005D4849"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5D4849" w:rsidRDefault="005D4849"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tbl>
      <w:tblPr>
        <w:tblpPr w:leftFromText="141" w:rightFromText="141" w:vertAnchor="text" w:horzAnchor="margin" w:tblpY="8"/>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66"/>
      </w:tblGrid>
      <w:tr w:rsidR="005D4849" w:rsidTr="001B64E7">
        <w:trPr>
          <w:trHeight w:val="546"/>
        </w:trPr>
        <w:tc>
          <w:tcPr>
            <w:tcW w:w="4566" w:type="dxa"/>
            <w:tcBorders>
              <w:top w:val="nil"/>
              <w:left w:val="nil"/>
              <w:bottom w:val="nil"/>
              <w:right w:val="nil"/>
            </w:tcBorders>
            <w:hideMark/>
          </w:tcPr>
          <w:p w:rsidR="005D4849" w:rsidRDefault="005D4849" w:rsidP="005D4849">
            <w:pPr>
              <w:rPr>
                <w:rFonts w:ascii="Arial" w:hAnsi="Arial" w:cs="Arial"/>
                <w:sz w:val="24"/>
              </w:rPr>
            </w:pPr>
          </w:p>
        </w:tc>
      </w:tr>
    </w:tbl>
    <w:p w:rsidR="005D4849" w:rsidRDefault="005D4849" w:rsidP="005D4849">
      <w:pPr>
        <w:tabs>
          <w:tab w:val="right" w:leader="hyphen" w:pos="9356"/>
        </w:tabs>
        <w:autoSpaceDE w:val="0"/>
        <w:autoSpaceDN w:val="0"/>
        <w:adjustRightInd w:val="0"/>
        <w:jc w:val="both"/>
        <w:rPr>
          <w:rFonts w:ascii="Arial" w:hAnsi="Arial" w:cs="Arial"/>
          <w:sz w:val="24"/>
        </w:rPr>
      </w:pPr>
    </w:p>
    <w:p w:rsidR="005D4849" w:rsidRDefault="005D4849" w:rsidP="005D4849">
      <w:pPr>
        <w:tabs>
          <w:tab w:val="right" w:leader="hyphen" w:pos="9356"/>
        </w:tabs>
        <w:autoSpaceDE w:val="0"/>
        <w:autoSpaceDN w:val="0"/>
        <w:adjustRightInd w:val="0"/>
        <w:jc w:val="both"/>
        <w:rPr>
          <w:rFonts w:ascii="Arial" w:hAnsi="Arial" w:cs="Arial"/>
          <w:sz w:val="24"/>
        </w:rPr>
      </w:pPr>
    </w:p>
    <w:p w:rsidR="005D4849" w:rsidRDefault="005D4849" w:rsidP="005D4849">
      <w:pPr>
        <w:tabs>
          <w:tab w:val="right" w:leader="hyphen" w:pos="9356"/>
        </w:tabs>
        <w:autoSpaceDE w:val="0"/>
        <w:autoSpaceDN w:val="0"/>
        <w:adjustRightInd w:val="0"/>
        <w:jc w:val="both"/>
        <w:rPr>
          <w:rFonts w:ascii="Arial" w:hAnsi="Arial" w:cs="Arial"/>
          <w:sz w:val="24"/>
        </w:rPr>
      </w:pPr>
    </w:p>
    <w:p w:rsidR="005D4849" w:rsidRDefault="005D4849" w:rsidP="005D4849">
      <w:pPr>
        <w:tabs>
          <w:tab w:val="right" w:leader="hyphen" w:pos="9356"/>
        </w:tabs>
        <w:autoSpaceDE w:val="0"/>
        <w:autoSpaceDN w:val="0"/>
        <w:adjustRightInd w:val="0"/>
        <w:jc w:val="both"/>
        <w:rPr>
          <w:rFonts w:ascii="Arial" w:hAnsi="Arial" w:cs="Arial"/>
          <w:sz w:val="24"/>
        </w:rPr>
      </w:pPr>
    </w:p>
    <w:p w:rsidR="005D4849" w:rsidRDefault="005D4849"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5D4849"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D1C" w:rsidRDefault="00B55D1C" w:rsidP="00CD34A8">
      <w:pPr>
        <w:spacing w:after="0" w:line="240" w:lineRule="auto"/>
      </w:pPr>
      <w:r>
        <w:separator/>
      </w:r>
    </w:p>
  </w:endnote>
  <w:endnote w:type="continuationSeparator" w:id="0">
    <w:p w:rsidR="00B55D1C" w:rsidRDefault="00B55D1C"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CC1F98" w:rsidRDefault="00EB502E">
        <w:pPr>
          <w:pStyle w:val="Piedepgina"/>
          <w:jc w:val="right"/>
        </w:pPr>
        <w:fldSimple w:instr="PAGE   \* MERGEFORMAT">
          <w:r w:rsidR="005D4849" w:rsidRPr="005D4849">
            <w:rPr>
              <w:noProof/>
              <w:lang w:val="es-ES"/>
            </w:rPr>
            <w:t>16</w:t>
          </w:r>
        </w:fldSimple>
      </w:p>
    </w:sdtContent>
  </w:sdt>
  <w:p w:rsidR="00CC1F98" w:rsidRDefault="00CC1F9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D1C" w:rsidRDefault="00B55D1C" w:rsidP="00CD34A8">
      <w:pPr>
        <w:spacing w:after="0" w:line="240" w:lineRule="auto"/>
      </w:pPr>
      <w:r>
        <w:separator/>
      </w:r>
    </w:p>
  </w:footnote>
  <w:footnote w:type="continuationSeparator" w:id="0">
    <w:p w:rsidR="00B55D1C" w:rsidRDefault="00B55D1C"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01B2B"/>
    <w:rsid w:val="00023CDF"/>
    <w:rsid w:val="000266B4"/>
    <w:rsid w:val="00027BC6"/>
    <w:rsid w:val="00032605"/>
    <w:rsid w:val="00033608"/>
    <w:rsid w:val="00035D65"/>
    <w:rsid w:val="00036653"/>
    <w:rsid w:val="00041591"/>
    <w:rsid w:val="0004249A"/>
    <w:rsid w:val="00043019"/>
    <w:rsid w:val="00045B24"/>
    <w:rsid w:val="0004612F"/>
    <w:rsid w:val="00051F5C"/>
    <w:rsid w:val="00055F3A"/>
    <w:rsid w:val="00063AAC"/>
    <w:rsid w:val="00070615"/>
    <w:rsid w:val="00070E2B"/>
    <w:rsid w:val="00071828"/>
    <w:rsid w:val="0007339B"/>
    <w:rsid w:val="0007341B"/>
    <w:rsid w:val="000771FE"/>
    <w:rsid w:val="000805BD"/>
    <w:rsid w:val="00097C9D"/>
    <w:rsid w:val="000A503D"/>
    <w:rsid w:val="000A72CA"/>
    <w:rsid w:val="000B1856"/>
    <w:rsid w:val="000B4219"/>
    <w:rsid w:val="000C0B9F"/>
    <w:rsid w:val="000C0EA9"/>
    <w:rsid w:val="000C1DC1"/>
    <w:rsid w:val="000D2004"/>
    <w:rsid w:val="000D2A3D"/>
    <w:rsid w:val="000D3717"/>
    <w:rsid w:val="000D5C9E"/>
    <w:rsid w:val="000F1C5D"/>
    <w:rsid w:val="000F5F21"/>
    <w:rsid w:val="0011047A"/>
    <w:rsid w:val="00122DA6"/>
    <w:rsid w:val="001249D4"/>
    <w:rsid w:val="00131C9A"/>
    <w:rsid w:val="001619C8"/>
    <w:rsid w:val="001636F8"/>
    <w:rsid w:val="00165636"/>
    <w:rsid w:val="00165B14"/>
    <w:rsid w:val="00170E5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2DA"/>
    <w:rsid w:val="001E7893"/>
    <w:rsid w:val="001F1611"/>
    <w:rsid w:val="001F1CC2"/>
    <w:rsid w:val="001F23A6"/>
    <w:rsid w:val="001F6359"/>
    <w:rsid w:val="00201B25"/>
    <w:rsid w:val="002113DA"/>
    <w:rsid w:val="002142DA"/>
    <w:rsid w:val="00216B1D"/>
    <w:rsid w:val="002354F5"/>
    <w:rsid w:val="002465A7"/>
    <w:rsid w:val="00247B29"/>
    <w:rsid w:val="00256C65"/>
    <w:rsid w:val="00260836"/>
    <w:rsid w:val="0028338A"/>
    <w:rsid w:val="002842DE"/>
    <w:rsid w:val="00284ACD"/>
    <w:rsid w:val="00286878"/>
    <w:rsid w:val="002905D9"/>
    <w:rsid w:val="002B22E1"/>
    <w:rsid w:val="002B2C18"/>
    <w:rsid w:val="002C01B6"/>
    <w:rsid w:val="002C160D"/>
    <w:rsid w:val="002C1EB1"/>
    <w:rsid w:val="002E6939"/>
    <w:rsid w:val="002F5DAB"/>
    <w:rsid w:val="0032060C"/>
    <w:rsid w:val="00322996"/>
    <w:rsid w:val="003436E0"/>
    <w:rsid w:val="00344462"/>
    <w:rsid w:val="0034569F"/>
    <w:rsid w:val="00353DF2"/>
    <w:rsid w:val="00360DCF"/>
    <w:rsid w:val="00386EFE"/>
    <w:rsid w:val="00394324"/>
    <w:rsid w:val="00394ABF"/>
    <w:rsid w:val="00396EFF"/>
    <w:rsid w:val="003A4370"/>
    <w:rsid w:val="003B1B60"/>
    <w:rsid w:val="003B6107"/>
    <w:rsid w:val="003D1B4F"/>
    <w:rsid w:val="003D467B"/>
    <w:rsid w:val="003D7D5E"/>
    <w:rsid w:val="003E3161"/>
    <w:rsid w:val="003E3A3C"/>
    <w:rsid w:val="003E44FD"/>
    <w:rsid w:val="003E5DFD"/>
    <w:rsid w:val="003F0DFF"/>
    <w:rsid w:val="00411BA2"/>
    <w:rsid w:val="00416652"/>
    <w:rsid w:val="00421CFB"/>
    <w:rsid w:val="0042390B"/>
    <w:rsid w:val="00423ECE"/>
    <w:rsid w:val="004253E4"/>
    <w:rsid w:val="004368B3"/>
    <w:rsid w:val="004513EF"/>
    <w:rsid w:val="00453B8F"/>
    <w:rsid w:val="00455AD3"/>
    <w:rsid w:val="004562E7"/>
    <w:rsid w:val="00462AB8"/>
    <w:rsid w:val="00462C3B"/>
    <w:rsid w:val="0046531D"/>
    <w:rsid w:val="00472E39"/>
    <w:rsid w:val="00473F1D"/>
    <w:rsid w:val="004834C1"/>
    <w:rsid w:val="00494D90"/>
    <w:rsid w:val="0049791E"/>
    <w:rsid w:val="004A0332"/>
    <w:rsid w:val="004B57BE"/>
    <w:rsid w:val="004C013F"/>
    <w:rsid w:val="004C2F80"/>
    <w:rsid w:val="004D110D"/>
    <w:rsid w:val="004D1439"/>
    <w:rsid w:val="004D3786"/>
    <w:rsid w:val="004D64DE"/>
    <w:rsid w:val="004E17E9"/>
    <w:rsid w:val="004E3F12"/>
    <w:rsid w:val="004F49BA"/>
    <w:rsid w:val="005107DA"/>
    <w:rsid w:val="00513EDF"/>
    <w:rsid w:val="00525B51"/>
    <w:rsid w:val="00527704"/>
    <w:rsid w:val="00531976"/>
    <w:rsid w:val="00544135"/>
    <w:rsid w:val="00547252"/>
    <w:rsid w:val="0055224D"/>
    <w:rsid w:val="005524FF"/>
    <w:rsid w:val="00552DC2"/>
    <w:rsid w:val="0056436F"/>
    <w:rsid w:val="00564692"/>
    <w:rsid w:val="00567B44"/>
    <w:rsid w:val="00576C18"/>
    <w:rsid w:val="0058485A"/>
    <w:rsid w:val="005A1B41"/>
    <w:rsid w:val="005A282C"/>
    <w:rsid w:val="005A6597"/>
    <w:rsid w:val="005A72C1"/>
    <w:rsid w:val="005A77F4"/>
    <w:rsid w:val="005B16CF"/>
    <w:rsid w:val="005B5F78"/>
    <w:rsid w:val="005D4849"/>
    <w:rsid w:val="005D6EFF"/>
    <w:rsid w:val="005D6F73"/>
    <w:rsid w:val="005D7B8C"/>
    <w:rsid w:val="005F5B0C"/>
    <w:rsid w:val="00604CA5"/>
    <w:rsid w:val="00604DBE"/>
    <w:rsid w:val="00610559"/>
    <w:rsid w:val="006111E4"/>
    <w:rsid w:val="00611AA0"/>
    <w:rsid w:val="00612492"/>
    <w:rsid w:val="00613CEE"/>
    <w:rsid w:val="00617CDA"/>
    <w:rsid w:val="0062187D"/>
    <w:rsid w:val="006319B1"/>
    <w:rsid w:val="0063453F"/>
    <w:rsid w:val="0065347A"/>
    <w:rsid w:val="00655082"/>
    <w:rsid w:val="0066364E"/>
    <w:rsid w:val="00671D48"/>
    <w:rsid w:val="00672CF0"/>
    <w:rsid w:val="00673896"/>
    <w:rsid w:val="00675BAA"/>
    <w:rsid w:val="006814C7"/>
    <w:rsid w:val="00684656"/>
    <w:rsid w:val="00685970"/>
    <w:rsid w:val="006860F3"/>
    <w:rsid w:val="00690117"/>
    <w:rsid w:val="00691270"/>
    <w:rsid w:val="0069487E"/>
    <w:rsid w:val="00697AB5"/>
    <w:rsid w:val="006A2E48"/>
    <w:rsid w:val="006A34B6"/>
    <w:rsid w:val="006A4740"/>
    <w:rsid w:val="006C3D23"/>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351C6"/>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5B58"/>
    <w:rsid w:val="007E6D7F"/>
    <w:rsid w:val="007E731F"/>
    <w:rsid w:val="007F0897"/>
    <w:rsid w:val="00802DC0"/>
    <w:rsid w:val="00804234"/>
    <w:rsid w:val="00805CA7"/>
    <w:rsid w:val="00807A61"/>
    <w:rsid w:val="008122BA"/>
    <w:rsid w:val="008127B4"/>
    <w:rsid w:val="0081379A"/>
    <w:rsid w:val="00821EB2"/>
    <w:rsid w:val="00825563"/>
    <w:rsid w:val="00833E6A"/>
    <w:rsid w:val="008364DE"/>
    <w:rsid w:val="00844771"/>
    <w:rsid w:val="00851C6B"/>
    <w:rsid w:val="00861240"/>
    <w:rsid w:val="0086566B"/>
    <w:rsid w:val="0086785D"/>
    <w:rsid w:val="008737DC"/>
    <w:rsid w:val="00875468"/>
    <w:rsid w:val="00876948"/>
    <w:rsid w:val="008846E6"/>
    <w:rsid w:val="00884D38"/>
    <w:rsid w:val="00891259"/>
    <w:rsid w:val="008963EF"/>
    <w:rsid w:val="008B3120"/>
    <w:rsid w:val="008B3230"/>
    <w:rsid w:val="008C3468"/>
    <w:rsid w:val="008C487E"/>
    <w:rsid w:val="008D0C17"/>
    <w:rsid w:val="008D145F"/>
    <w:rsid w:val="008D16DB"/>
    <w:rsid w:val="008D20C5"/>
    <w:rsid w:val="008D4668"/>
    <w:rsid w:val="008E152D"/>
    <w:rsid w:val="008E20AC"/>
    <w:rsid w:val="008E6131"/>
    <w:rsid w:val="008F0490"/>
    <w:rsid w:val="008F0ECE"/>
    <w:rsid w:val="008F5DAD"/>
    <w:rsid w:val="0090203F"/>
    <w:rsid w:val="00902377"/>
    <w:rsid w:val="0090623A"/>
    <w:rsid w:val="00910CEE"/>
    <w:rsid w:val="009229EB"/>
    <w:rsid w:val="0092399E"/>
    <w:rsid w:val="00932170"/>
    <w:rsid w:val="00932EE2"/>
    <w:rsid w:val="00936BFE"/>
    <w:rsid w:val="00942D2F"/>
    <w:rsid w:val="009457D1"/>
    <w:rsid w:val="009473DC"/>
    <w:rsid w:val="00950B61"/>
    <w:rsid w:val="009538F9"/>
    <w:rsid w:val="009550D1"/>
    <w:rsid w:val="00955F45"/>
    <w:rsid w:val="009641CD"/>
    <w:rsid w:val="00964EF0"/>
    <w:rsid w:val="00980AA0"/>
    <w:rsid w:val="009836E9"/>
    <w:rsid w:val="00984306"/>
    <w:rsid w:val="00984B2C"/>
    <w:rsid w:val="009A3603"/>
    <w:rsid w:val="009B1A93"/>
    <w:rsid w:val="009B4D7D"/>
    <w:rsid w:val="009B5F42"/>
    <w:rsid w:val="009B7612"/>
    <w:rsid w:val="009C209B"/>
    <w:rsid w:val="009C2B2C"/>
    <w:rsid w:val="009C3A3F"/>
    <w:rsid w:val="009C4F64"/>
    <w:rsid w:val="009C7131"/>
    <w:rsid w:val="009D3F28"/>
    <w:rsid w:val="009D44D7"/>
    <w:rsid w:val="009D7A5E"/>
    <w:rsid w:val="009E369B"/>
    <w:rsid w:val="009E4320"/>
    <w:rsid w:val="009E7D53"/>
    <w:rsid w:val="009F561F"/>
    <w:rsid w:val="009F6F84"/>
    <w:rsid w:val="00A061C2"/>
    <w:rsid w:val="00A0650C"/>
    <w:rsid w:val="00A110D2"/>
    <w:rsid w:val="00A17CA5"/>
    <w:rsid w:val="00A24CA8"/>
    <w:rsid w:val="00A3179C"/>
    <w:rsid w:val="00A344A9"/>
    <w:rsid w:val="00A34DE0"/>
    <w:rsid w:val="00A3731E"/>
    <w:rsid w:val="00A444F1"/>
    <w:rsid w:val="00A53424"/>
    <w:rsid w:val="00A5384B"/>
    <w:rsid w:val="00A65729"/>
    <w:rsid w:val="00A658F9"/>
    <w:rsid w:val="00A72827"/>
    <w:rsid w:val="00A7286D"/>
    <w:rsid w:val="00A73E59"/>
    <w:rsid w:val="00A74693"/>
    <w:rsid w:val="00A8445A"/>
    <w:rsid w:val="00A8684D"/>
    <w:rsid w:val="00A873BE"/>
    <w:rsid w:val="00A96591"/>
    <w:rsid w:val="00A979DA"/>
    <w:rsid w:val="00A97E80"/>
    <w:rsid w:val="00AA036E"/>
    <w:rsid w:val="00AA1112"/>
    <w:rsid w:val="00AA6360"/>
    <w:rsid w:val="00AA7006"/>
    <w:rsid w:val="00AB2FF9"/>
    <w:rsid w:val="00AB3892"/>
    <w:rsid w:val="00AD2768"/>
    <w:rsid w:val="00AD542C"/>
    <w:rsid w:val="00AE03A2"/>
    <w:rsid w:val="00AE47F2"/>
    <w:rsid w:val="00AF330B"/>
    <w:rsid w:val="00AF6A4A"/>
    <w:rsid w:val="00B02348"/>
    <w:rsid w:val="00B05592"/>
    <w:rsid w:val="00B069FB"/>
    <w:rsid w:val="00B15502"/>
    <w:rsid w:val="00B15DF2"/>
    <w:rsid w:val="00B17B5F"/>
    <w:rsid w:val="00B23FC8"/>
    <w:rsid w:val="00B35DEC"/>
    <w:rsid w:val="00B40346"/>
    <w:rsid w:val="00B47E0C"/>
    <w:rsid w:val="00B55D1C"/>
    <w:rsid w:val="00B62E3E"/>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5467"/>
    <w:rsid w:val="00BF6BDA"/>
    <w:rsid w:val="00C01B5D"/>
    <w:rsid w:val="00C02D0D"/>
    <w:rsid w:val="00C0558E"/>
    <w:rsid w:val="00C063DB"/>
    <w:rsid w:val="00C10935"/>
    <w:rsid w:val="00C123CB"/>
    <w:rsid w:val="00C12612"/>
    <w:rsid w:val="00C13944"/>
    <w:rsid w:val="00C14FC4"/>
    <w:rsid w:val="00C319AF"/>
    <w:rsid w:val="00C327D3"/>
    <w:rsid w:val="00C32BC1"/>
    <w:rsid w:val="00C358B9"/>
    <w:rsid w:val="00C446AF"/>
    <w:rsid w:val="00C44FDA"/>
    <w:rsid w:val="00C4746F"/>
    <w:rsid w:val="00C5434C"/>
    <w:rsid w:val="00C70343"/>
    <w:rsid w:val="00C72F53"/>
    <w:rsid w:val="00C8028C"/>
    <w:rsid w:val="00C8362B"/>
    <w:rsid w:val="00C90E5A"/>
    <w:rsid w:val="00C91200"/>
    <w:rsid w:val="00C92C5D"/>
    <w:rsid w:val="00C93E66"/>
    <w:rsid w:val="00C93EFD"/>
    <w:rsid w:val="00C95DA4"/>
    <w:rsid w:val="00C97FA6"/>
    <w:rsid w:val="00CA2039"/>
    <w:rsid w:val="00CA4EFC"/>
    <w:rsid w:val="00CB41B8"/>
    <w:rsid w:val="00CB6217"/>
    <w:rsid w:val="00CB685E"/>
    <w:rsid w:val="00CB71DC"/>
    <w:rsid w:val="00CC1F98"/>
    <w:rsid w:val="00CD13B8"/>
    <w:rsid w:val="00CD1852"/>
    <w:rsid w:val="00CD1AAC"/>
    <w:rsid w:val="00CD34A8"/>
    <w:rsid w:val="00CD4F31"/>
    <w:rsid w:val="00CE0994"/>
    <w:rsid w:val="00CE2C8E"/>
    <w:rsid w:val="00CF0162"/>
    <w:rsid w:val="00CF083F"/>
    <w:rsid w:val="00CF20EB"/>
    <w:rsid w:val="00CF2DB7"/>
    <w:rsid w:val="00CF34F2"/>
    <w:rsid w:val="00CF6157"/>
    <w:rsid w:val="00CF6716"/>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82821"/>
    <w:rsid w:val="00D858DC"/>
    <w:rsid w:val="00D874CF"/>
    <w:rsid w:val="00D875EC"/>
    <w:rsid w:val="00D87ED8"/>
    <w:rsid w:val="00D96A9C"/>
    <w:rsid w:val="00DA0F61"/>
    <w:rsid w:val="00DA184D"/>
    <w:rsid w:val="00DA2F07"/>
    <w:rsid w:val="00DA636A"/>
    <w:rsid w:val="00DB1B79"/>
    <w:rsid w:val="00DB3F23"/>
    <w:rsid w:val="00DC5B78"/>
    <w:rsid w:val="00DD1AC9"/>
    <w:rsid w:val="00DD4168"/>
    <w:rsid w:val="00DE463F"/>
    <w:rsid w:val="00DF12BA"/>
    <w:rsid w:val="00E0297B"/>
    <w:rsid w:val="00E04D9A"/>
    <w:rsid w:val="00E06825"/>
    <w:rsid w:val="00E07F8B"/>
    <w:rsid w:val="00E100E5"/>
    <w:rsid w:val="00E1682D"/>
    <w:rsid w:val="00E16FB5"/>
    <w:rsid w:val="00E17CFF"/>
    <w:rsid w:val="00E20977"/>
    <w:rsid w:val="00E23F23"/>
    <w:rsid w:val="00E25259"/>
    <w:rsid w:val="00E40212"/>
    <w:rsid w:val="00E62E8E"/>
    <w:rsid w:val="00E66CAE"/>
    <w:rsid w:val="00E72395"/>
    <w:rsid w:val="00E77409"/>
    <w:rsid w:val="00E8127C"/>
    <w:rsid w:val="00E85DDC"/>
    <w:rsid w:val="00EA03AB"/>
    <w:rsid w:val="00EA637C"/>
    <w:rsid w:val="00EA6E03"/>
    <w:rsid w:val="00EA7F70"/>
    <w:rsid w:val="00EB0FB8"/>
    <w:rsid w:val="00EB2637"/>
    <w:rsid w:val="00EB502E"/>
    <w:rsid w:val="00EB7766"/>
    <w:rsid w:val="00EC1222"/>
    <w:rsid w:val="00ED3A29"/>
    <w:rsid w:val="00EF251D"/>
    <w:rsid w:val="00EF3E97"/>
    <w:rsid w:val="00EF52ED"/>
    <w:rsid w:val="00F00B90"/>
    <w:rsid w:val="00F03668"/>
    <w:rsid w:val="00F06FDE"/>
    <w:rsid w:val="00F139A5"/>
    <w:rsid w:val="00F17054"/>
    <w:rsid w:val="00F2020C"/>
    <w:rsid w:val="00F2745B"/>
    <w:rsid w:val="00F3061F"/>
    <w:rsid w:val="00F32F92"/>
    <w:rsid w:val="00F439E2"/>
    <w:rsid w:val="00F44A01"/>
    <w:rsid w:val="00F44D9C"/>
    <w:rsid w:val="00F475A7"/>
    <w:rsid w:val="00F526FE"/>
    <w:rsid w:val="00F54AB8"/>
    <w:rsid w:val="00F54ADF"/>
    <w:rsid w:val="00F569B6"/>
    <w:rsid w:val="00F6258E"/>
    <w:rsid w:val="00F62C0F"/>
    <w:rsid w:val="00F7495E"/>
    <w:rsid w:val="00F76CCB"/>
    <w:rsid w:val="00F8032A"/>
    <w:rsid w:val="00F84653"/>
    <w:rsid w:val="00F8713D"/>
    <w:rsid w:val="00F91A0C"/>
    <w:rsid w:val="00F91BC8"/>
    <w:rsid w:val="00F9306F"/>
    <w:rsid w:val="00F93D9E"/>
    <w:rsid w:val="00F95C6A"/>
    <w:rsid w:val="00F96918"/>
    <w:rsid w:val="00F97002"/>
    <w:rsid w:val="00F97774"/>
    <w:rsid w:val="00FA336B"/>
    <w:rsid w:val="00FB04F1"/>
    <w:rsid w:val="00FB34F0"/>
    <w:rsid w:val="00FB3A8C"/>
    <w:rsid w:val="00FB5DDF"/>
    <w:rsid w:val="00FC40F6"/>
    <w:rsid w:val="00FC460D"/>
    <w:rsid w:val="00FD7E2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F9"/>
  </w:style>
  <w:style w:type="paragraph" w:styleId="Ttulo2">
    <w:name w:val="heading 2"/>
    <w:basedOn w:val="Normal"/>
    <w:next w:val="Normal"/>
    <w:link w:val="Ttulo2Car"/>
    <w:unhideWhenUsed/>
    <w:qFormat/>
    <w:rsid w:val="005D4849"/>
    <w:pPr>
      <w:keepNext/>
      <w:spacing w:after="0" w:line="240" w:lineRule="auto"/>
      <w:outlineLvl w:val="1"/>
    </w:pPr>
    <w:rPr>
      <w:rFonts w:ascii="Arial" w:eastAsia="Times New Roman" w:hAnsi="Arial"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character" w:customStyle="1" w:styleId="Ttulo2Car">
    <w:name w:val="Título 2 Car"/>
    <w:basedOn w:val="Fuentedeprrafopredeter"/>
    <w:link w:val="Ttulo2"/>
    <w:rsid w:val="005D4849"/>
    <w:rPr>
      <w:rFonts w:ascii="Arial" w:eastAsia="Times New Roman" w:hAnsi="Arial" w:cs="Times New Roman"/>
      <w:b/>
      <w:bCs/>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13312149">
      <w:bodyDiv w:val="1"/>
      <w:marLeft w:val="0"/>
      <w:marRight w:val="0"/>
      <w:marTop w:val="0"/>
      <w:marBottom w:val="0"/>
      <w:divBdr>
        <w:top w:val="none" w:sz="0" w:space="0" w:color="auto"/>
        <w:left w:val="none" w:sz="0" w:space="0" w:color="auto"/>
        <w:bottom w:val="none" w:sz="0" w:space="0" w:color="auto"/>
        <w:right w:val="none" w:sz="0" w:space="0" w:color="auto"/>
      </w:divBdr>
    </w:div>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90282984">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41347676">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208758179">
      <w:bodyDiv w:val="1"/>
      <w:marLeft w:val="0"/>
      <w:marRight w:val="0"/>
      <w:marTop w:val="0"/>
      <w:marBottom w:val="0"/>
      <w:divBdr>
        <w:top w:val="none" w:sz="0" w:space="0" w:color="auto"/>
        <w:left w:val="none" w:sz="0" w:space="0" w:color="auto"/>
        <w:bottom w:val="none" w:sz="0" w:space="0" w:color="auto"/>
        <w:right w:val="none" w:sz="0" w:space="0" w:color="auto"/>
      </w:divBdr>
    </w:div>
    <w:div w:id="1394044039">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17647976">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E564-7DB9-40DC-978F-A79A3AC2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18</Pages>
  <Words>5816</Words>
  <Characters>31990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12</cp:revision>
  <cp:lastPrinted>2016-03-30T17:58:00Z</cp:lastPrinted>
  <dcterms:created xsi:type="dcterms:W3CDTF">2016-03-30T00:03:00Z</dcterms:created>
  <dcterms:modified xsi:type="dcterms:W3CDTF">2016-03-31T17:34:00Z</dcterms:modified>
</cp:coreProperties>
</file>