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14" w:rsidRPr="008A7AC2" w:rsidRDefault="00E24A14" w:rsidP="00B052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REGLAMENTO PARA REGULAR LA DIFUSIÓN Y FIJACIÓN DE LA</w:t>
      </w:r>
    </w:p>
    <w:p w:rsidR="00E24A14" w:rsidRPr="008A7AC2" w:rsidRDefault="00E24A14" w:rsidP="00E24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DURANTE EL PROCESO ELECTORAL.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TÍTULO PRIMERO</w:t>
      </w:r>
    </w:p>
    <w:p w:rsidR="00E24A14" w:rsidRPr="008A7AC2" w:rsidRDefault="00E24A14" w:rsidP="00E24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ÚNICO</w:t>
      </w:r>
    </w:p>
    <w:p w:rsidR="00E24A14" w:rsidRPr="008A7AC2" w:rsidRDefault="00E24A14" w:rsidP="00E24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DISPOSICIONES GENERALES</w:t>
      </w:r>
    </w:p>
    <w:p w:rsidR="00B0528D" w:rsidRPr="008A7AC2" w:rsidRDefault="00B0528D" w:rsidP="00E24A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ARTÍCULO 1.- </w:t>
      </w:r>
      <w:r w:rsidR="002A505F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 presente R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eglamento regula las disposiciones de la Ley Electoral del Estado de Sinaloa relativas a la difusión, fijación y colocación de la propaganda electoral durante el proceso electoral en los periodos de precampañas y campañas electorales, siendo obligatorio para los Partidos Políticos, coaliciones, aspirantes a candidato, precandidatos, candidatos, militantes, simpatizantes o terceros. 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Durante el proceso electoral estas disposiciones serán aplicables a la propaganda política.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ARTÍCULO 2.-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Para la interpretación de este Reglamento, 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 estará a lo dispuesto en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2, párrafo segundo de la Ley Electoral del Estado de Sinaloa.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ARTÍCULO 3.-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Para los efectos de este reglamento se entiende por: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Accidentes orográficos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Las formaciones naturales que comprenden cerros, colinas, montañas, rocas, fracturas, salientes, riscos y demás manifestaciones geológicas, cualquiera que sea su régimen de propiedad.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Actos de campaña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Son las reuniones públicas, asistencia potestativa a debates, asambleas, visitas domiciliarias, marchas, promociones a través de transmisiones de radio y televisión, en medios impresos, de anuncios espectaculares en la vía pública, entrevistas y en general aquellos en que los candidatos o voceros de los partidos políticos y coaliciones se dirigen al electorado.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Actos de precampaña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Las acciones que tienen por objeto obtener la nominación como candidato del Partido Político o coalición, para contender en una elección constitucional. Entre otras, quedan comprendidas las siguientes: Reuniones públicas o privadas, promociones a través de transmisiones en radio y televisión y cualquier otro medio electrónico, promociones a través de medios impresos, promociones a través de anuncios espectaculares en la vía pública, asambleas, debates, entrevistas en los medios y visitas domiciliarias.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IV.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Aspirante a candidato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Los ciudadanos que deciden contender al interior de un determinado partido político o coalición, con el fin de alcanzar su nominación como candidato a un puesto de elección popular, una vez que han sido registrados en las contiendas internas de los institutos políticos correspondientes.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V.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Campaña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Es el conjunto de actividades llevadas a cabo por los Partidos Políticos y coaliciones para la difusión de sus respectivas plataformas electorales, programas de acción y plan de gobierno tendientes a la obtención del voto, quedando comprendidos dentro de ésta, los actos de campaña y de propaganda electoral.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lastRenderedPageBreak/>
        <w:t xml:space="preserve">VI.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Candidato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: Es aquel ciudadano nominado por un Partido Político o 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coalición y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registrado ante un órgano electoral para participar en una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elección.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VII.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Comisión de Organización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La Comisión de Organización y Vigilancia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del Consejo.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VIII.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Consejo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El Consejo Estatal Electoral de Sinaloa.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IX.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Equipamiento urbano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Se entenderá por éste, en forma enunciativa mas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no limitativa, toda aquella infraestructura que comprende: instalaciones para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 distribución de agua potable, depósitos de agua, alcantarillados,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cisternas, bombas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y redes de distribución; instalaciones y plantas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drenaje de aguas negras y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pluviales, líneas de conducción, y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almacenamie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ntos; instalaciones eléctricas: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estaciones, torres, postes y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cableado; ba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nquetas y guarniciones; puentes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peatonales y vehiculares,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señalamientos de tránsito y semáforos; alumbrado público: postes y faroles;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carpeta asfáltica de call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es y avenidas; tanques elevados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y contenedores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basura; así como cunetas, taludes, muros de contención y de protección;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vados, pretiles de puentes, mallas protectoras de deslave, carpetas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caminos y carreteras, bocas de túneles, durmientes ferroviarios y puentes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estructura metálica.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Espacios destinados a la prestación de servicios públicos o lugares</w:t>
      </w:r>
      <w:r w:rsidR="006444DC"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uso común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Son aquellos inmuebles, edificios y espacios públicos o</w:t>
      </w:r>
      <w:r w:rsidR="006444DC"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privados reservados para prestar un servicio creado por el Estado en</w:t>
      </w:r>
      <w:r w:rsidR="006444DC"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beneficio de la sociedad.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XI. </w:t>
      </w:r>
      <w:proofErr w:type="spellStart"/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Intercampaña</w:t>
      </w:r>
      <w:proofErr w:type="spellEnd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Periodo comprendido entre el día siguiente al que concluye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 periodo de precampaña y el día anterior al inicio del correspondiente 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Ley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La Ley Electoral del Estado de Sinaloa.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XIII. </w:t>
      </w:r>
      <w:r w:rsidRPr="008A7AC2">
        <w:rPr>
          <w:rFonts w:ascii="Arial" w:hAnsi="Arial" w:cs="Arial"/>
          <w:b/>
          <w:color w:val="000000"/>
          <w:sz w:val="23"/>
          <w:szCs w:val="23"/>
          <w:lang w:val="es-MX" w:eastAsia="es-MX"/>
        </w:rPr>
        <w:t>Plataforma electoral: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Documento que contiene las propuestas políticas 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ideas que para cada elección realizan y difunden los Partidos Políticos o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 a la ciudadanía durante una campaña electoral.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XIV.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Precandidato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Aquel de los aspirantes a candidatos que fue nominado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oficialmente por su Partido Político o coalición, mediante el proceso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selección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durante la precampaña, hasta antes de su registro legal como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XV.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Precampaña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El conjunto de actividades reguladas por la Ley,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este Reglamento, los estatutos y acuerdos de los partidos políticos o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coaliciones, que de manera previa a la campaña electoral, son llevadas 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cabo por los partidos y los aspirantes a candidato.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XVI.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Política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Constituye el género de los medios a través de los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cuales los partidos, ciudadanos y organizaciones difunden su ideología,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programas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y acciones con el fin de influir en los ciudadanos para que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adopten determinadas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conductas sobre temas de interés social, y que no se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encuentren necesariamente vinculadas a un proceso electoral local.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XVII.</w:t>
      </w:r>
      <w:r w:rsidR="00406F5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de precampaña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El conjunto de escritos,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publicaciones, imágenes, grabaciones, proyecciones y expresiones que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durante la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electoral producen y difunden los partidos políticos,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los aspirantes a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 y sus simpatizantes, con el propósito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presentar y difundir sus propuestas ante la sociedad y los militantes del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Partido por el que aspiran ser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nominados.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XVIII.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Son el conjunto de escritos, publicaciones,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imágenes, grabaciones, proyecciones y expresiones que durante la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 electoral producen y difunden los Partidos Políticos y coaliciones,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y sus simpatizantes, con el propósito de presentarlos ante la ciudadanía.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XIX. </w:t>
      </w: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Reglamento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: El Reglamento para regular la difusión y fijación de la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durante el proceso electoral.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4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Al colocar, fijar o colgar propaganda de precampaña electoral y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 electoral los Partidos Políticos, coaliciones, aspirantes a candidatos y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candidatos observarán en lo conducente las disposiciones establecidas en los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artículos 117 Bis I, 117 Bis J y demás relativos de la Ley y de este Reglamento,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las leyes, reglamentos estatales y municipales, así como bandos municipales.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 referida propaganda electoral sólo podrá fijarse, colocarse o colgarse en la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delimitación territorial que electoralmente le corresponda.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5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El Consejo resolverá las controversias y desahogará las dudas que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 presenten con motivo de la interpretación y aplicación de este Reglamento,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sujetándose a lo dispuesto en los artículos 2, párrafo segundo y 56 </w:t>
      </w:r>
      <w:proofErr w:type="gramStart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fracción</w:t>
      </w:r>
      <w:proofErr w:type="gramEnd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XXV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la Ley.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MX" w:eastAsia="es-MX"/>
        </w:rPr>
        <w:t>ARTÍCULO 6</w:t>
      </w:r>
      <w:r w:rsidR="00406F5A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.- Queda prohibido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desde el inicio de las precampañas hasta la conclusión de la jornada electoral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, la distribución gratuita u onerosa de despensas, materiales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de construcción, medicamentos, servicios médicos, aparatos ortopédicos, lentes,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enseres domésticos y bebidas alcohólicas, por parte de los Partidos Políticos,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coaliciones, aspirantes a candidatos, precandidatos, candidatos, por ellos o por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proofErr w:type="spellStart"/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interpósita</w:t>
      </w:r>
      <w:proofErr w:type="spellEnd"/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persona.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Partidos Políticos podrán otorgar en todo momento, incluyendo precampañas y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campañas electorales, servicio médico y asesoría legal gratuitos en s</w:t>
      </w:r>
      <w:r w:rsidR="00747A68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us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domicilios</w:t>
      </w:r>
      <w:r w:rsidR="00747A68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registrados ante el Consejo Estatal Electoral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sin que esto contravenga lo establecido en el Artículo 36.1 del Reglamento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Fiscalización de los recursos de los Partidos Políticos.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7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En la elaboración, fijación o colocación de propaganda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y campaña electoral no podrán emplearse sustancias tóxicas ni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materiales que impliquen un posible riesgo directo para la salud de las personas,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contaminen el medio ambiente o que puedan deteriorar plantas de ornato,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palmeras y árboles.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MX" w:eastAsia="es-MX"/>
        </w:rPr>
        <w:t>ARTÍCULO 8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.- Los Partidos Políticos, coaliciones, aspirantes a candidatos,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precandidatos y candidatos,</w:t>
      </w:r>
      <w:r w:rsidR="005A728E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podrán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distribuir propaganda de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precampaña o de campaña electoral que se contenga o esté impresa en</w:t>
      </w:r>
      <w:r w:rsidR="006444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="009C7484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recipie</w:t>
      </w:r>
      <w:r w:rsidR="00A77649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ntes que contengan cualquier </w:t>
      </w:r>
      <w:proofErr w:type="gramStart"/>
      <w:r w:rsidR="00A77649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liquido</w:t>
      </w:r>
      <w:proofErr w:type="gramEnd"/>
      <w:r w:rsidR="00A77649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="005A728E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de uso personal</w:t>
      </w:r>
      <w:r w:rsidR="00A77649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, excepto los de contenido alcohólico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9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Partidos Políticos, coaliciones, aspirantes a candidatos,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precandidatos y candidatos procurarán en la medida de lo posible, la utilización de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material reciclable o biodegradable al imprimir su propaganda durante la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y la campaña electoral.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10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Partidos Políticos y coaliciones participarán en la recolección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la propaganda de precampaña y campaña electoral para su procesamiento,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utilizando preferentemente el procedimiento de reciclaje.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11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Es derecho exclusivo de los Partidos Políticos y coaliciones, por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conducto del órgano electoral, contratar espacios en los medios de comunicación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impresos para difundir mensajes orientados a la obtención del voto durante las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precampañas y campañas electorales, en los términos de lo dispuesto por el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46 Bis y demás relativos de la Ley.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007215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Queda prohibido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a los Partidos Políticos, coaliciones, aspirantes a candidatos,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precandidatos, candidatos o terceros, contratar por sí o por </w:t>
      </w:r>
      <w:proofErr w:type="spellStart"/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interpósita</w:t>
      </w:r>
      <w:proofErr w:type="spellEnd"/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persona en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medios de comunicación impresos,</w:t>
      </w:r>
      <w:r w:rsidR="00AB0E4F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AB0E4F" w:rsidRP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radio y televisión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propaganda de precampaña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o propaganda electoral, durante el proceso electoral.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6444DC" w:rsidRPr="00BE6156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MX" w:eastAsia="es-MX"/>
        </w:rPr>
        <w:t>ARTÍCULO 12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.- </w:t>
      </w:r>
      <w:r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La propaganda de precampaña electoral o la propaganda</w:t>
      </w:r>
      <w:r w:rsidR="006444DC"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electoral que por cualquier medio realicen los aspirantes a candidatos y</w:t>
      </w:r>
      <w:r w:rsidR="006444DC"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simpatizantes, los Partidos Políticos, coaliciones, sus candidatos y simpatizantes,</w:t>
      </w:r>
      <w:r w:rsidR="006444DC"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deberán referirse:</w:t>
      </w:r>
      <w:r w:rsidR="006444DC" w:rsidRPr="00BE6156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</w:p>
    <w:p w:rsidR="003848EF" w:rsidRPr="008A7AC2" w:rsidRDefault="003848EF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I. Durante la precampaña electoral: A la presentación y difusión de sus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propuestas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ante la sociedad y los militantes del Partido Político o coalición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por el que aspiran ser nominados.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II. Durante la campaña electoral: A la difusión de sus respectivas plataformas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electorales, programas de acción y/o plan de gobierno, así como al análisis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de los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temas de interés, su posición ante ellos, propuestas a la sociedad y a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los militantes de sus Partidos Políticos o coaliciones.</w:t>
      </w:r>
    </w:p>
    <w:p w:rsidR="006444DC" w:rsidRPr="008A7AC2" w:rsidRDefault="006444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</w:pPr>
    </w:p>
    <w:p w:rsidR="0091141A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En su propaganda electoral, se abstendrán de usar frases similares o alusivas a</w:t>
      </w:r>
      <w:r w:rsidR="006444DC"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highlight w:val="lightGray"/>
          <w:lang w:val="es-MX" w:eastAsia="es-MX"/>
        </w:rPr>
        <w:t>las utilizadas públicamente por cualquiera de las instancias de gobierno.</w:t>
      </w:r>
      <w:r w:rsidR="006444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</w:p>
    <w:p w:rsidR="00302365" w:rsidRPr="008A7AC2" w:rsidRDefault="00302365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13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 propaganda de precampaña y campaña electoral en todas sus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modalidades deberá contener la identificación precisa del nombre del aspirante 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 o candidato según corresponda y del Partido Político o coalición por el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busca ser postulado o es postulado, además del distrito electoral o municipio,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su caso.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14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Se prohíbe a los aspirantes a candidatos, precandidatos, a los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candidatos, Partidos Políticos, coaliciones y a los servidores públicos la utilización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por sí o por </w:t>
      </w:r>
      <w:proofErr w:type="spellStart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interpósita</w:t>
      </w:r>
      <w:proofErr w:type="spellEnd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persona, de la infraestructura de cualquiera de los tres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niveles de gobierno, que incluye, entre otros, los teléfonos, faxes, computadoras,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vehículos oficiales y herramientas de Internet en apoyo de actos de precampaña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 electoral para difundir su propaganda a favor de sus propias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aspiraciones 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o a favor o en contra de otros aspirantes, candidatos, Partidos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Políticos o coaliciones.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15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 propaganda de precampaña y campaña electoral no podrá:</w:t>
      </w:r>
    </w:p>
    <w:p w:rsidR="009F7DA2" w:rsidRPr="008A7AC2" w:rsidRDefault="009F7DA2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I. Colocarse, fijarse, colgarse o pintarse en elementos del equipamiento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carretero o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ferroviario, ni en accidentes orográficos cualquiera que sea su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régimen jurídico, ni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árboles, arbustos, palmeras en áreas públicas y en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general cuando se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modifique el paisaje natural y urbano o perjudique el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entorno ecológico.</w:t>
      </w:r>
    </w:p>
    <w:p w:rsidR="009F7DA2" w:rsidRPr="008A7AC2" w:rsidRDefault="009F7DA2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II. En ningún caso la propaganda deberá cruzar una vialidad, salvo en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espacios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publicitarios autorizados o cuando formen parte de los elementos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escenográficos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un evento proselitista en el que haya mediado permiso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ofic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ial para cerrar la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vialidad en donde se desarrolla, en el entendido de que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esta propaganda deberá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ser retirada en cuanto culmine el acto.</w:t>
      </w:r>
    </w:p>
    <w:p w:rsidR="009F7DA2" w:rsidRPr="008A7AC2" w:rsidRDefault="009F7DA2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III. Colocarse, fijarse, colgarse o pintarse en monumentos históricos,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arqueológicos, artísticos y construcciones de valor cultural, entendiéndose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parte de éstos: los centros poblacionales considerados Pueblos Mágicos y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Señoriales; así como las áreas urbanas catalogadas como Centros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H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istóricos, salvo en los lugares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los Ayuntamientos respectivos lo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permitan, con base en la reglamentación aplicable.</w:t>
      </w:r>
    </w:p>
    <w:p w:rsidR="009F7DA2" w:rsidRPr="008A7AC2" w:rsidRDefault="009F7DA2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IV. Fijarse, colocarse, colgarse o pintarse, ni distribuirse en el interior y exterior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las oficinas, edificios y locales ocupados por los poderes del Estado,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administración pública centralizada y descentralizada federal, estatal o</w:t>
      </w:r>
      <w:r w:rsidR="00A54773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municipal, y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general en aquellos que estén destinados a la prestación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servicios públicos.</w:t>
      </w:r>
    </w:p>
    <w:p w:rsidR="0026023A" w:rsidRPr="008A7AC2" w:rsidRDefault="0026023A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6327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V. Fijarse, colocarse, colgarse o pintarse, en los cinco días anteriores al de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jornada electoral, en un radio de cincuenta metros de los lugares en que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deberán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ubicarse las mesas directivas de casilla.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16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.- </w:t>
      </w:r>
      <w:r w:rsidR="001263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Además de lo preceptuado en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anterior, queda prohibido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la propaganda se fije o se pinte en elementos del equipamiento urbano,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carretero o ferroviario, ni en accidentes orográficos cualquiera que sea su régimen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jurídico, tales como cerros, colinas, montañas y en general cuando se modifique el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paisaje natural y urbano o perjudique el entorno ecológico.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Entendiendo por fijar: “colocar la propaganda de una manera fija y estable, de tal</w:t>
      </w:r>
      <w:r w:rsidR="00E26327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suerte que no pueda mov</w:t>
      </w:r>
      <w:r w:rsidR="009F7DA2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erse o desprenderse fácilmente”;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por tanto, en el periodo</w:t>
      </w:r>
      <w:r w:rsidR="00E26327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="00143E6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de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campaña electoral está permitido colgar propaganda en </w:t>
      </w:r>
      <w:r w:rsid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el </w:t>
      </w:r>
      <w:r w:rsidR="00AB0E4F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equipamiento urbano</w:t>
      </w:r>
      <w:r w:rsid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,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siempre y cuando penda</w:t>
      </w:r>
      <w:r w:rsid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de cuerdas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o cualquier otro accesorio</w:t>
      </w:r>
      <w:r w:rsidR="00E26327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fácilmente removible y no dañe el</w:t>
      </w:r>
      <w:r w:rsidR="00AB0E4F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mismo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, no impida la visibilidad de</w:t>
      </w:r>
      <w:r w:rsidR="00E26327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conductores de vehículos, ni la circulación de peatones.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Adicionalmente durante el periodo de precampaña no se podrá fijar o pintar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en lugares de uso común.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17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Conforme a lo dispuesto en los artículos 56 fracción XXXVIII y 117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Bis L de la Ley, el Consejo vigilará que se suspenda la difusión y colocación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oficial de acciones de gobierno y de actividades institucionales,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durante el tiempo de las campañas y hasta el día de la jornada electoral. En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relación con las excepciones referidas en esas normas, se entenderá por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campañas relativas a servicios educativos las referentes a inscripciones y trámites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relacionados con las instituciones de enseñanza de todos los niveles, así como las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eventos cívicos, culturales, deportivos y la promoción de atractivos turísticos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carácter cultural como fiestas tradicionales y sitios históricos. En ningún caso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estas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campañas deberán hacer alusión ni contener emblemas de institución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gubernamental alguna.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existir propaganda o difusión oficial de acciones de gobierno o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actividades institucionales por cualquier medio, el Consejo dispondrá su retiro por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conducto de la autoridad gubernamental que corresponda.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igual forma el Consejo ordenará en los mismos términos, el retiro de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fija o colocada que por cualquier medio difunda acciones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gubernamentales que puedan favorecer a algún candidato.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18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Para los ef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ectos de lo establecido por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 Bis E,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fracción II, de la Ley, se considera que se dirigen a la obtención del voto los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promocionales en radio y televisión, inserciones en prensa, anuncios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espectaculares en la vía pública y la propaganda en salas de cine y páginas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Internet transmitidos, publicados o colocados durante las campañas electorales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presenten cuando menos una de las siguientes características: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a) Las palabras “voto” o “votar”, “sufragio” o “sufragar”, “elección”, “elegir”,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“decisión” o “decidir” y sus sinónimos, en cualquiera de sus derivados y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conjugaciones, ya sea verbal o por escrito;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b) La aparición de la imagen de alguno de los candidatos del partido, o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utilización de su voz o de su nombre, apellidos, apelativos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sobrenombre, sea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verbal o por escrito;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c) La invitación a participar en actos organizados por el partido o por los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candidatos por </w:t>
      </w:r>
      <w:proofErr w:type="gramStart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 postulados</w:t>
      </w:r>
      <w:proofErr w:type="gramEnd"/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d) La mención de la fecha de la jornada electoral local, sea verbalmente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por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escrito;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e) La difusión de la plataforma electoral del partido, o de su posición ante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temas de inter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és social, en los términos del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 Bis E de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Ley;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f) La defensa de cualquier política pública que a juicio del partido haya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producido,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produzca o vaya a producir estos beneficios para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ciudadanía;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g) La crítica a cualquier política pública que a juicio del partido haya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causado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efectos negativos de cualquier clase;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h) La presentación de la imagen del líder o líderes del partido; la aparición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su emblema; o la mención de sus slogans, frases de campaña o de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cualquier lema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 el que se identifique al partido o a cualquiera de sus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i) Cualquier referencia verbal o escrita, o producida a través de imágenes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sonidos, a cualquier gobierno, sea emanado de las filas del mismo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partido, o de otro partido; y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j) Cualquier referencia verbal o escrita, o producida a través de imágenes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sonidos, a cualquier partido distinto, o a cualquier candidato postulado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por un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partido distinto.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TÍTULO SEGUNDO</w:t>
      </w: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 PROPAGANDA ELECTORAL</w:t>
      </w: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I</w:t>
      </w: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 PROPAGANDA ELECTORAL EN PRECAMPAÑAS.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6327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19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A partir de que los ciudadanos interesados reciban la constancia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les otorga la calidad de aspirantes a candidatos de un Partido Político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coalición, éstos podrán dar inicio a los actos de precampaña y a difundir, fijar,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colocar y distribuir la propaganda de precampaña electoral; en todo caso, se estará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1263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 lo dispuesto por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 Bis de la Ley.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que el aspirante a candidato no informe que desea iniciar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precampaña, tanto el Consejo Estatal Electoral como los Partidos Políticos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coaliciones, podrán reconocer que la precampaña ha dado inicio, una vez que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sean públicos y notorios los actos y gastos de precampaña, y podrá ser sujeto 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sanciones conforme a lo establecido por los estatutos del Partido correspondiente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y la Ley.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20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 propaganda de precampaña electoral fijada y/o colocada por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aspirantes a candidato, sin menoscabo de haber ganado o no la contienda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interna, deberá ser retirada por éstos o por el Partido Político o coalición que los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haya acreditado, en un plazo no mayor de cinco días, contados a partir de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conclusión del periodo de precampaña establecido en la Ley.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el caso de que la propaganda no sea retirada en el plazo antes señalado, se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requerirá al Partido Político o coalición para su inmediato retiro, el que deberá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realizarse dentro de las veinticuatro horas siguientes.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1263DC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Por analogía con el artículo 117 B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is N de la Ley, la autoridad municipal y la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serán competentes para el retiro inmediato de propaganda y el costo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correspondiente se deducirá del financiamiento público estatal del partido político o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partidos políticos responsables sin menoscabo de cualesquier otra sanción que se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="00E24A1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pudiera imponer al responsable.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21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Para la realización de actos de precampañas, consistentes en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reuniones públicas y asambleas, </w:t>
      </w:r>
      <w:r w:rsidR="001263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se estará a lo dispuesto en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 Bis G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 la Ley.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22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Queda prohibido que la propaganda de precampaña electoral se</w:t>
      </w:r>
      <w:r w:rsidR="00E26327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fije, coloque o pinte en lugares de uso común.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II</w:t>
      </w:r>
    </w:p>
    <w:p w:rsidR="00E24A14" w:rsidRPr="008A7AC2" w:rsidRDefault="00E24A14" w:rsidP="00E263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 PROPAGANDA ELECTORAL EN CAMPAÑAS.</w:t>
      </w:r>
    </w:p>
    <w:p w:rsidR="00E26327" w:rsidRPr="008A7AC2" w:rsidRDefault="00E26327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23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Las campañas electorales para Gobernador iniciarán cincuenta y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un días antes del establecido para la jornada electoral; y las correspondientes a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Diputados, Presidentes Municipales, Síndicos Procuradores y Regidores, iniciarán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treinta y nueve días antes del día de la elección. Durante los tres días previos al de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 jornada electoral no podrá celebrarse ningún acto de campaña, ni de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o proselitismo electoral.</w:t>
      </w:r>
    </w:p>
    <w:p w:rsidR="001245B4" w:rsidRPr="008A7AC2" w:rsidRDefault="001245B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24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En la propaganda electoral que utilicen los candidatos durante las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campañas procurarán contener la fecha de la jornada electoral.</w:t>
      </w:r>
    </w:p>
    <w:p w:rsidR="001245B4" w:rsidRPr="008A7AC2" w:rsidRDefault="001245B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25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partidos políticos deberán solicitar el registro de su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plataforma electoral ante el Consejo, en los </w:t>
      </w:r>
      <w:r w:rsidR="001263DC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términos a que se refieren los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rtículos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3 </w:t>
      </w:r>
      <w:r w:rsidR="00A11755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fracción </w:t>
      </w:r>
      <w:r w:rsidR="00980C28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X</w:t>
      </w:r>
      <w:r w:rsidR="00A11755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III</w:t>
      </w:r>
      <w:r w:rsidR="00A11755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de este Reglamento, 30 fracción VII, 56 fracción XV, </w:t>
      </w:r>
      <w:r w:rsidR="00980C28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de la Ley Electoral del Estado de Sinaloa</w:t>
      </w:r>
      <w:r w:rsidR="00980C28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,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 más tardar el diez de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mayo del año de la elección.</w:t>
      </w:r>
    </w:p>
    <w:p w:rsidR="001245B4" w:rsidRPr="008A7AC2" w:rsidRDefault="001245B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1245B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coalición para Gobernador se deberá solicitar el registro de su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plataforma a más tardar el veinte de abril del año de la elección.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</w:p>
    <w:p w:rsidR="001245B4" w:rsidRPr="008A7AC2" w:rsidRDefault="001245B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coalición para Diputados y Presidente Municipal, Síndico Procurador y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Regidores se deberá realizar el registro de su plataforma a más tardar el treinta de</w:t>
      </w:r>
      <w:r w:rsidR="001245B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abril del año de la elección.</w:t>
      </w:r>
    </w:p>
    <w:p w:rsidR="001245B4" w:rsidRPr="008A7AC2" w:rsidRDefault="001245B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7347F1" w:rsidRPr="008A7AC2" w:rsidRDefault="00E24A14" w:rsidP="001263D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highlight w:val="lightGray"/>
          <w:lang w:val="es-MX" w:eastAsia="es-MX"/>
        </w:rPr>
        <w:t>ARTÍCULO 26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.- </w:t>
      </w:r>
      <w:r w:rsidR="007347F1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Queda prohibida la difusión, fijación, colocación y distribución de propaganda electoral para el caso de precandidatos a Gobernador, Diputados, Presidente Municipal, Síndico Procurador y Regidores, así como actos de campaña a partir del día siguiente al que conclu</w:t>
      </w:r>
      <w:r w:rsidR="001263DC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ya el periodo de precampaña y hasta el</w:t>
      </w:r>
      <w:r w:rsidR="007347F1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 día anterior al inicio del correspondiente a campaña.</w:t>
      </w:r>
    </w:p>
    <w:p w:rsidR="005A5F1E" w:rsidRPr="008A7AC2" w:rsidRDefault="005A5F1E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actos alusivos que organicen los partidos políticos, coaliciones o sus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precandidatos, el día que soliciten el registro de candidaturas ante el órgano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correspondiente, se referirán única y exclusivamente al lugar, fecha y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hora de dicha solicitud de registro y su trayecto al referido órgano.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partidos políticos, coaliciones y candidatos deberán retirar toda propaganda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de manera inmediata al concluir el acto en el que se solicite el registro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 candidatura correspondiente. En caso contrario se aplicará por analogía lo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establecido en el Artículo 117 bis N de la Ley , en cuanto al inmediato retiro, por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parte de la autoridad electoral o administrativa correspondiente,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independientemente de las sanciones a las que pudieran hacerse acreedores los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infractores por infringir los ordenamientos legales en materia de propaganda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27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Consejos Distritales Electorales promoverán la celebración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un convenio con las autoridades municipales mediante el cual pondrán 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disposición del órgano electoral el inventario de los espacios públicos o lugares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uso común susceptibles para la instalación, colocación, fijación y pinta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bastidores y/o mamparas con propaganda electoral propiedad de los partidos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políticos o coaliciones.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7347F1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Una vez celebrado el convenio, los Consejos Distritales durante </w:t>
      </w:r>
      <w:r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 xml:space="preserve">el </w:t>
      </w:r>
      <w:r w:rsidR="0022327E" w:rsidRPr="008A7AC2">
        <w:rPr>
          <w:rFonts w:ascii="Arial" w:hAnsi="Arial" w:cs="Arial"/>
          <w:b/>
          <w:color w:val="000000"/>
          <w:sz w:val="23"/>
          <w:szCs w:val="23"/>
          <w:highlight w:val="lightGray"/>
          <w:lang w:val="es-MX" w:eastAsia="es-MX"/>
        </w:rPr>
        <w:t>mes de mayo</w:t>
      </w:r>
      <w:r w:rsidR="0022327E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realizarán el sorteo en condiciones de igualdad para la distribución de esos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espacios o lugares de uso común.</w:t>
      </w:r>
    </w:p>
    <w:p w:rsidR="0022327E" w:rsidRPr="008A7AC2" w:rsidRDefault="0022327E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ningún caso el inventario de espacios y lugares de uso común deberá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contemplar aquellos que se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encuentran establecidos en 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 Bis J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párrafo tercero de la Ley.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Asignados los lugares de uso común, el Consejo Distrital respectivo notificará el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resultado del sorteo al Consejo.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III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 PROPAGANDA ELECTORAL EN INMUEBLES DE PROPIEDAD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PRIVADA.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28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Son bienes de propiedad privada todos aquellos cuyo dominio les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pertenece legalmente a los particulares, y de lo que no puede aprovecharse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ninguno sin consentimiento del dueño o disposición de la Ley.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29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aspirantes a candidato, candidatos, partidos políticos y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 podrán colocar, pintar o fijar propaganda de precampañas y campañas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electorales en inmuebles de propiedad privada, siempre que medie autorización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por escrito del propietario, usufructuario o legítimo poseedor del inmueble y no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pertenezca a los considerados como lugares prohibidos para colocar o fijar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300951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Las autorizaciones antes mencionadas, deberán solicitarse por separado para el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periodo de precampaña o campaña electoral.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Los partidos políticos y coaliciones deberán entregar una copia de dicha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autorización al órgano electoral que corresponda dentro de los cinco días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posteriores a la obtención de dicho permiso.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controversias sobre la propaganda de precampaña o campaña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colocada o fijada en dichos bienes, el Consejo Distrital podrá solicitar al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propietario, usufructuario o legítimo poseedor del inmueble, que exhiba el título 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convenio que acredite el dominio del bien o su legítima posesión, y en su caso,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requerirlo para que ratifique el permiso otorgado.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Cuando se presente conflicto para acreditar la propiedad o legítima posesión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algún inmueble que se pretenda utilizar para colocar o fijar propaganda de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o campaña electoral, el inmueble en cuestión será inhabilitado para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tal efecto por el Consejo Distrital Electoral correspondiente.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ARTICULO 30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aspirantes a candidato, candidatos, partidos políticos 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coaliciones, en los convenios que suscriban con los poseedores, propietarios 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persona legalmente facultadas para ello, de espacios comerciales donde se fije,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coloque o pinte propaganda de precampaña electoral o campaña electoral,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deberán incluir el compromiso de retirarla al término de éstas.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IV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LAS ATRIBUCIONES DE LOS CONSEJOS DISTRITALES EN MATERIA DE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ELECTORAL DURANTE EL PROCESO ELECTORAL.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31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Consejos Distritales, dentro del ámbito de su competencia,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velarán por la observancia de las disposiciones establecidas en la Ley, el presente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Reglamento y demás normatividad aplicable; asimismo, adoptarán las medidas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necesarias para asegurar a los partidos políticos, coaliciones, aspirantes 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candidatos, precandidatos y candidatos registrados el pleno ejercicio de sus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derechos y el cumplimiento de sus obligaciones.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32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Los Consejos Distritales, en sus ámbitos de competencia, son los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encargados de supervisar y vigilar que los partidos políticos, coaliciones,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aspirantes a candidatos, precandidatos y los candidatos registrados, den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cumplimiento a las disposiciones en la materia.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Verificarán que la propaganda electoral se difunda, fije o coloque en los términos y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condiciones establecidas en las normas jurídicas referidas, garantizando el debido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acatamiento de las prohibiciones estipuladas en las mismas.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33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Las Comisiones Distritales de Organización y Vigilancia Electoral,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que se integran en cada uno de los Consejos Distritales, deberán realizar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recorridos periódicos y sistemáticos en los lugares susceptibles para fijar, pintar o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colocar propaganda durante el proceso electoral.</w:t>
      </w: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En caso de encontrar propaganda que violente las disposiciones en esta materia,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deberán aplicar el procedimiento establ</w:t>
      </w:r>
      <w:r w:rsidR="007506BA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ecido en el párrafo quinto del a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rtículo 117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Bis J de la Ley.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CAPÍTULO V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DE LAS MEDIDAS QUE PUEDEN ADOPTAR LOS CONSEJOS DISTRITALES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PARA EL CUMPLIMIENTO DE LA NORMATIVIDAD EN MATERIA DE</w:t>
      </w:r>
    </w:p>
    <w:p w:rsidR="00E24A14" w:rsidRPr="008A7AC2" w:rsidRDefault="00E24A14" w:rsidP="003009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PROPAGANDA DURANTE EL PROCESO ELECTORAL.</w:t>
      </w:r>
    </w:p>
    <w:p w:rsidR="00300951" w:rsidRPr="008A7AC2" w:rsidRDefault="00300951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34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Las medidas que pueden adoptar los Consejos Distritales para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dar cumplimiento al presente Reglamento, respecto a propaganda durante el</w:t>
      </w:r>
      <w:r w:rsidR="00300951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proceso electoral, son las siguientes:</w:t>
      </w:r>
    </w:p>
    <w:p w:rsidR="007506BA" w:rsidRPr="008A7AC2" w:rsidRDefault="007506BA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a) Ordenar a los aspirantes a candidato, precandidatos, partidos políticos,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 y candidatos registrados el retiro de la propaganda de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o campaña electoral que no cumpla con lo establecido en la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normatividad de la materia.</w:t>
      </w:r>
    </w:p>
    <w:p w:rsidR="00524BC4" w:rsidRPr="008A7AC2" w:rsidRDefault="00524BC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b) Ordenar a los aspirantes a candidato, precandidatos, partidos políticos,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coaliciones y candidatos registrados blanquear o restituir la propaganda en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las bardas o reponer la propaganda indebidamente destruida o dañada.</w:t>
      </w:r>
    </w:p>
    <w:p w:rsidR="00524BC4" w:rsidRPr="008A7AC2" w:rsidRDefault="00524BC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35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Para la ejecución material de las medidas respectivas, de ser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necesario, el Consejo o las autoridades estatales y municipales, según sea el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caso, proporcionarán los elementos materiales y humanos para que los Consejos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Distritales hagan cumplir eficazmente sus acuerdos en materia de propaganda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durante el proceso electoral.</w:t>
      </w:r>
    </w:p>
    <w:p w:rsidR="00524BC4" w:rsidRPr="008A7AC2" w:rsidRDefault="00524BC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ARTÍCULO 36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Toda infracción que implique la implementación del procedimiento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administrativo sancionador contemplado en el Título Séptimo, Capítulo VI del de la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Ley será competencia del Consejo, previa integración del expediente por el</w:t>
      </w:r>
      <w:r w:rsidR="00524BC4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Consejo Distrital correspondiente, en su caso.</w:t>
      </w:r>
    </w:p>
    <w:p w:rsidR="00524BC4" w:rsidRPr="008A7AC2" w:rsidRDefault="00524BC4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524B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TRANSITORIOS.</w:t>
      </w:r>
    </w:p>
    <w:p w:rsidR="007506BA" w:rsidRPr="008A7AC2" w:rsidRDefault="007506BA" w:rsidP="00524B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E24A14" w:rsidRPr="008A7AC2" w:rsidRDefault="00E24A14" w:rsidP="00E24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PRIMERO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El presente Reglamento para regular la difusión y fijación de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propaganda durante el proceso electoral, deberá publicarse en el Periódico Oficial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«El Estado de Sinaloa».</w:t>
      </w:r>
    </w:p>
    <w:p w:rsidR="00F73AC6" w:rsidRPr="008A7AC2" w:rsidRDefault="00F73AC6" w:rsidP="00E24A1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</w:pPr>
    </w:p>
    <w:p w:rsidR="005F3CA6" w:rsidRPr="008A7AC2" w:rsidRDefault="00E24A14" w:rsidP="00F73A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s-MX" w:eastAsia="es-MX"/>
        </w:rPr>
      </w:pPr>
      <w:r w:rsidRPr="008A7AC2">
        <w:rPr>
          <w:rFonts w:ascii="Arial" w:hAnsi="Arial" w:cs="Arial"/>
          <w:b/>
          <w:bCs/>
          <w:color w:val="000000"/>
          <w:sz w:val="23"/>
          <w:szCs w:val="23"/>
          <w:lang w:val="es-MX" w:eastAsia="es-MX"/>
        </w:rPr>
        <w:t>SEGUNDO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.- El presente Reglamento entrará en vigor a partir del día siguiente de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su publicación en el Periódico Oficial «El Estado de Sinaloa», </w:t>
      </w:r>
      <w:r w:rsidR="008A7AC2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modificándose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en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consecuencia el Reglamento para regular la difusión y fijación de la propaganda de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precampaña y campaña electoral aprobado por el Pleno del Consejo Estatal</w:t>
      </w:r>
      <w:r w:rsidR="00F73AC6"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 xml:space="preserve"> </w:t>
      </w:r>
      <w:r w:rsidRPr="008A7AC2">
        <w:rPr>
          <w:rFonts w:ascii="Arial" w:hAnsi="Arial" w:cs="Arial"/>
          <w:color w:val="000000"/>
          <w:sz w:val="23"/>
          <w:szCs w:val="23"/>
          <w:lang w:val="es-MX" w:eastAsia="es-MX"/>
        </w:rPr>
        <w:t>Electoral el veinticinco de mayo de 2007.</w:t>
      </w:r>
    </w:p>
    <w:p w:rsidR="008A7AC2" w:rsidRDefault="008A7AC2" w:rsidP="00F73A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8A7AC2" w:rsidRDefault="008A7AC2" w:rsidP="008A7AC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Modifi</w:t>
      </w:r>
      <w:r w:rsidR="00C46541">
        <w:rPr>
          <w:rFonts w:ascii="Arial" w:hAnsi="Arial" w:cs="Arial"/>
          <w:b/>
          <w:sz w:val="20"/>
          <w:szCs w:val="20"/>
        </w:rPr>
        <w:t>cado mediante acuerdo ORD/05/025</w:t>
      </w:r>
      <w:r>
        <w:rPr>
          <w:rFonts w:ascii="Arial" w:hAnsi="Arial" w:cs="Arial"/>
          <w:b/>
          <w:sz w:val="20"/>
          <w:szCs w:val="20"/>
        </w:rPr>
        <w:t xml:space="preserve"> en la Quinta Sesión Ordinaria del Consejo Estatal Electoral el día 22 de marzo de 2013.</w:t>
      </w:r>
    </w:p>
    <w:p w:rsidR="008A7AC2" w:rsidRPr="00A54773" w:rsidRDefault="008A7AC2" w:rsidP="00F73A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sectPr w:rsidR="008A7AC2" w:rsidRPr="00A54773" w:rsidSect="00681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131BE"/>
    <w:rsid w:val="00007215"/>
    <w:rsid w:val="00035ABC"/>
    <w:rsid w:val="000851C6"/>
    <w:rsid w:val="000F3C1B"/>
    <w:rsid w:val="001245B4"/>
    <w:rsid w:val="001263DC"/>
    <w:rsid w:val="00143E6C"/>
    <w:rsid w:val="001F5A6D"/>
    <w:rsid w:val="00203BF7"/>
    <w:rsid w:val="0022327E"/>
    <w:rsid w:val="0026023A"/>
    <w:rsid w:val="002738E1"/>
    <w:rsid w:val="0027631D"/>
    <w:rsid w:val="002860D0"/>
    <w:rsid w:val="00297D81"/>
    <w:rsid w:val="002A505F"/>
    <w:rsid w:val="00300951"/>
    <w:rsid w:val="00302365"/>
    <w:rsid w:val="00346622"/>
    <w:rsid w:val="003812DA"/>
    <w:rsid w:val="003848EF"/>
    <w:rsid w:val="003877F1"/>
    <w:rsid w:val="003C466E"/>
    <w:rsid w:val="003D4A7F"/>
    <w:rsid w:val="004055C9"/>
    <w:rsid w:val="00406F5A"/>
    <w:rsid w:val="00480E1A"/>
    <w:rsid w:val="00486B30"/>
    <w:rsid w:val="004947E0"/>
    <w:rsid w:val="004A795B"/>
    <w:rsid w:val="004C73D7"/>
    <w:rsid w:val="0051224F"/>
    <w:rsid w:val="005131BE"/>
    <w:rsid w:val="00524BC4"/>
    <w:rsid w:val="005A01AA"/>
    <w:rsid w:val="005A2593"/>
    <w:rsid w:val="005A5F1E"/>
    <w:rsid w:val="005A728E"/>
    <w:rsid w:val="005F3CA6"/>
    <w:rsid w:val="00641061"/>
    <w:rsid w:val="0064179F"/>
    <w:rsid w:val="006444DC"/>
    <w:rsid w:val="00672EB0"/>
    <w:rsid w:val="006818E4"/>
    <w:rsid w:val="007347F1"/>
    <w:rsid w:val="00747A68"/>
    <w:rsid w:val="007506BA"/>
    <w:rsid w:val="007751B4"/>
    <w:rsid w:val="007A098D"/>
    <w:rsid w:val="007B297B"/>
    <w:rsid w:val="007E4EC5"/>
    <w:rsid w:val="008270B0"/>
    <w:rsid w:val="008400CF"/>
    <w:rsid w:val="0084113C"/>
    <w:rsid w:val="00856751"/>
    <w:rsid w:val="00863B28"/>
    <w:rsid w:val="008A235D"/>
    <w:rsid w:val="008A7AC2"/>
    <w:rsid w:val="0091141A"/>
    <w:rsid w:val="009224CE"/>
    <w:rsid w:val="00950A45"/>
    <w:rsid w:val="0095421F"/>
    <w:rsid w:val="00980C28"/>
    <w:rsid w:val="009B68E0"/>
    <w:rsid w:val="009C7484"/>
    <w:rsid w:val="009E451D"/>
    <w:rsid w:val="009E7C11"/>
    <w:rsid w:val="009F7DA2"/>
    <w:rsid w:val="00A11755"/>
    <w:rsid w:val="00A51742"/>
    <w:rsid w:val="00A54773"/>
    <w:rsid w:val="00A77649"/>
    <w:rsid w:val="00A97258"/>
    <w:rsid w:val="00AB0E4F"/>
    <w:rsid w:val="00AB0EB7"/>
    <w:rsid w:val="00AB1822"/>
    <w:rsid w:val="00AF2D34"/>
    <w:rsid w:val="00B0528D"/>
    <w:rsid w:val="00B14596"/>
    <w:rsid w:val="00B14BBC"/>
    <w:rsid w:val="00B15B32"/>
    <w:rsid w:val="00B17BDF"/>
    <w:rsid w:val="00B24749"/>
    <w:rsid w:val="00BE6156"/>
    <w:rsid w:val="00C24FBB"/>
    <w:rsid w:val="00C46541"/>
    <w:rsid w:val="00C47075"/>
    <w:rsid w:val="00C85C95"/>
    <w:rsid w:val="00CC6EF1"/>
    <w:rsid w:val="00CE0873"/>
    <w:rsid w:val="00D211FB"/>
    <w:rsid w:val="00D24805"/>
    <w:rsid w:val="00DA3495"/>
    <w:rsid w:val="00DD02DB"/>
    <w:rsid w:val="00E24522"/>
    <w:rsid w:val="00E24A14"/>
    <w:rsid w:val="00E26327"/>
    <w:rsid w:val="00E34890"/>
    <w:rsid w:val="00E453BB"/>
    <w:rsid w:val="00E6196D"/>
    <w:rsid w:val="00EC42B3"/>
    <w:rsid w:val="00F46280"/>
    <w:rsid w:val="00F50213"/>
    <w:rsid w:val="00F73AC6"/>
    <w:rsid w:val="00F96269"/>
    <w:rsid w:val="00FC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8E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AB9A-CB76-4EA8-8852-8F16D891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4381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PARA REGULAR LA DIFUSIÓN Y FIJACIÓN DE LA</vt:lpstr>
    </vt:vector>
  </TitlesOfParts>
  <Company>CEE</Company>
  <LinksUpToDate>false</LinksUpToDate>
  <CharactersWithSpaces>28421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PARA REGULAR LA DIFUSIÓN Y FIJACIÓN DE LA</dc:title>
  <dc:creator>.</dc:creator>
  <cp:lastModifiedBy>semilla</cp:lastModifiedBy>
  <cp:revision>9</cp:revision>
  <cp:lastPrinted>2013-03-22T02:16:00Z</cp:lastPrinted>
  <dcterms:created xsi:type="dcterms:W3CDTF">2013-03-21T01:56:00Z</dcterms:created>
  <dcterms:modified xsi:type="dcterms:W3CDTF">2013-03-23T00:11:00Z</dcterms:modified>
</cp:coreProperties>
</file>