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E7" w:rsidRDefault="00B113E7" w:rsidP="00526D53">
      <w:pPr>
        <w:pStyle w:val="Textoindependiente2"/>
        <w:tabs>
          <w:tab w:val="right" w:leader="hyphen" w:pos="9072"/>
        </w:tabs>
        <w:ind w:right="44"/>
        <w:jc w:val="right"/>
        <w:rPr>
          <w:b/>
          <w:bCs/>
        </w:rPr>
      </w:pPr>
    </w:p>
    <w:p w:rsidR="00B113E7" w:rsidRPr="003D00A2" w:rsidRDefault="00B113E7" w:rsidP="00526D53">
      <w:pPr>
        <w:pStyle w:val="Textoindependiente2"/>
        <w:tabs>
          <w:tab w:val="right" w:leader="hyphen" w:pos="9072"/>
        </w:tabs>
        <w:ind w:right="44"/>
        <w:jc w:val="right"/>
        <w:rPr>
          <w:b/>
          <w:bCs/>
        </w:rPr>
      </w:pPr>
      <w:r w:rsidRPr="003D00A2">
        <w:rPr>
          <w:b/>
          <w:bCs/>
        </w:rPr>
        <w:t>CONSEJO ESTATAL</w:t>
      </w:r>
      <w:r>
        <w:rPr>
          <w:b/>
          <w:bCs/>
        </w:rPr>
        <w:t xml:space="preserve"> </w:t>
      </w:r>
      <w:r w:rsidRPr="003D00A2">
        <w:rPr>
          <w:b/>
          <w:bCs/>
        </w:rPr>
        <w:t>ELECTORAL</w:t>
      </w:r>
    </w:p>
    <w:p w:rsidR="00B113E7" w:rsidRPr="00BA183E" w:rsidRDefault="00B113E7" w:rsidP="00526D53">
      <w:pPr>
        <w:pStyle w:val="Textoindependiente2"/>
        <w:tabs>
          <w:tab w:val="right" w:leader="hyphen" w:pos="9072"/>
        </w:tabs>
        <w:ind w:right="44"/>
        <w:jc w:val="right"/>
        <w:rPr>
          <w:b/>
          <w:bCs/>
        </w:rPr>
      </w:pPr>
      <w:r w:rsidRPr="00BA183E">
        <w:rPr>
          <w:b/>
          <w:bCs/>
        </w:rPr>
        <w:t xml:space="preserve">DESECHAMIENTO. </w:t>
      </w:r>
    </w:p>
    <w:p w:rsidR="00B113E7" w:rsidRDefault="00B113E7" w:rsidP="00526D53">
      <w:pPr>
        <w:pStyle w:val="Textoindependiente2"/>
        <w:tabs>
          <w:tab w:val="right" w:leader="hyphen" w:pos="9072"/>
        </w:tabs>
        <w:ind w:right="44"/>
        <w:jc w:val="right"/>
        <w:rPr>
          <w:b/>
          <w:bCs/>
          <w:sz w:val="18"/>
          <w:szCs w:val="18"/>
        </w:rPr>
      </w:pPr>
    </w:p>
    <w:p w:rsidR="00B113E7" w:rsidRPr="00630D36" w:rsidRDefault="00B113E7" w:rsidP="00526D53">
      <w:pPr>
        <w:pStyle w:val="Textoindependiente2"/>
        <w:tabs>
          <w:tab w:val="right" w:leader="hyphen" w:pos="9072"/>
        </w:tabs>
        <w:ind w:right="44"/>
        <w:jc w:val="right"/>
        <w:rPr>
          <w:b/>
          <w:bCs/>
          <w:sz w:val="18"/>
          <w:szCs w:val="18"/>
        </w:rPr>
      </w:pPr>
    </w:p>
    <w:p w:rsidR="00B113E7" w:rsidRPr="00D679DA" w:rsidRDefault="00B113E7" w:rsidP="00526D53">
      <w:pPr>
        <w:pStyle w:val="Textoindependiente2"/>
        <w:tabs>
          <w:tab w:val="right" w:leader="hyphen" w:pos="9072"/>
        </w:tabs>
        <w:ind w:right="-283"/>
        <w:rPr>
          <w:b/>
          <w:bCs/>
        </w:rPr>
      </w:pPr>
      <w:r w:rsidRPr="00282004">
        <w:rPr>
          <w:b/>
          <w:bCs/>
        </w:rPr>
        <w:t>D</w:t>
      </w:r>
      <w:r w:rsidRPr="00630D36">
        <w:rPr>
          <w:b/>
          <w:bCs/>
        </w:rPr>
        <w:t>ICTAMEN</w:t>
      </w:r>
      <w:r w:rsidR="00834B50">
        <w:rPr>
          <w:b/>
          <w:bCs/>
        </w:rPr>
        <w:t xml:space="preserve"> </w:t>
      </w:r>
      <w:r w:rsidRPr="00630D36">
        <w:rPr>
          <w:b/>
          <w:bCs/>
        </w:rPr>
        <w:t>RELATIVO AL PROCEDIMIENTO ADMINISTRATIVO SANCIONADOR I</w:t>
      </w:r>
      <w:r>
        <w:rPr>
          <w:b/>
          <w:bCs/>
        </w:rPr>
        <w:t>NCOADO</w:t>
      </w:r>
      <w:r w:rsidRPr="00630D36">
        <w:rPr>
          <w:b/>
          <w:bCs/>
        </w:rPr>
        <w:t xml:space="preserve"> CON LA QUEJA</w:t>
      </w:r>
      <w:r>
        <w:rPr>
          <w:b/>
          <w:bCs/>
        </w:rPr>
        <w:t xml:space="preserve"> ADMINISTRATIVA PRESENTADA POR EL LIC. DIEGO OCTAVIO LIZÁRRAGA MOTTA, REPRESENTANTE DE LA COALICIÓN TRANSFORMEMOS SINALOA ANTE EL CONSEJO DISTRITAL ELECTORAL XXII CON CABECERA EN EL ROSARIO, EN CONTRA DE LA</w:t>
      </w:r>
      <w:r w:rsidRPr="00630D36">
        <w:rPr>
          <w:b/>
          <w:bCs/>
        </w:rPr>
        <w:t xml:space="preserve"> </w:t>
      </w:r>
      <w:r>
        <w:rPr>
          <w:b/>
          <w:bCs/>
        </w:rPr>
        <w:t>COALICIÓN UNIDOS G</w:t>
      </w:r>
      <w:r w:rsidR="00312A3B">
        <w:rPr>
          <w:b/>
          <w:bCs/>
        </w:rPr>
        <w:t>ANAS TÚ y LOS CANDIDATOS MANUEL</w:t>
      </w:r>
      <w:r>
        <w:rPr>
          <w:b/>
          <w:bCs/>
        </w:rPr>
        <w:t xml:space="preserve"> ANTONIO PINEDA DOMÍNGUEZ y EDGAR A</w:t>
      </w:r>
      <w:r w:rsidR="00282004">
        <w:rPr>
          <w:b/>
          <w:bCs/>
        </w:rPr>
        <w:t>U</w:t>
      </w:r>
      <w:r>
        <w:rPr>
          <w:b/>
          <w:bCs/>
        </w:rPr>
        <w:t>GUSTO GONZÁLEZ ZATARAIN,</w:t>
      </w:r>
      <w:r w:rsidRPr="00D679DA">
        <w:rPr>
          <w:b/>
          <w:bCs/>
        </w:rPr>
        <w:t xml:space="preserve"> POR PRESUNTAS VIOLACIONES</w:t>
      </w:r>
      <w:r w:rsidR="00834B50">
        <w:rPr>
          <w:b/>
          <w:bCs/>
        </w:rPr>
        <w:t xml:space="preserve"> </w:t>
      </w:r>
      <w:r>
        <w:rPr>
          <w:b/>
          <w:bCs/>
        </w:rPr>
        <w:t xml:space="preserve">A LA </w:t>
      </w:r>
      <w:r w:rsidRPr="00D679DA">
        <w:rPr>
          <w:b/>
          <w:bCs/>
        </w:rPr>
        <w:t>LEY ELECTORAL</w:t>
      </w:r>
      <w:r>
        <w:rPr>
          <w:b/>
          <w:bCs/>
        </w:rPr>
        <w:t xml:space="preserve"> DEL ESTADO DE SINALOA.</w:t>
      </w:r>
      <w:r w:rsidRPr="00D679DA">
        <w:rPr>
          <w:b/>
          <w:bCs/>
        </w:rPr>
        <w:tab/>
      </w:r>
    </w:p>
    <w:p w:rsidR="00B113E7" w:rsidRPr="00630D36" w:rsidRDefault="00B113E7" w:rsidP="00526D53">
      <w:pPr>
        <w:pStyle w:val="Textoindependiente2"/>
        <w:tabs>
          <w:tab w:val="right" w:leader="hyphen" w:pos="9072"/>
        </w:tabs>
        <w:ind w:right="44"/>
        <w:rPr>
          <w:b/>
          <w:bCs/>
        </w:rPr>
      </w:pPr>
    </w:p>
    <w:p w:rsidR="00B113E7" w:rsidRPr="00630D36" w:rsidRDefault="00B113E7" w:rsidP="00526D53">
      <w:pPr>
        <w:pStyle w:val="Textoindependiente2"/>
        <w:tabs>
          <w:tab w:val="right" w:leader="hyphen" w:pos="9072"/>
        </w:tabs>
        <w:ind w:right="44"/>
      </w:pPr>
      <w:r w:rsidRPr="00630D36">
        <w:t xml:space="preserve">---Culiacán Rosales, Sinaloa, México, a </w:t>
      </w:r>
      <w:r w:rsidR="00526D53">
        <w:t>23</w:t>
      </w:r>
      <w:r w:rsidRPr="00630D36">
        <w:t xml:space="preserve"> de </w:t>
      </w:r>
      <w:r w:rsidR="00A0523C">
        <w:t>agosto</w:t>
      </w:r>
      <w:r w:rsidRPr="00630D36">
        <w:t xml:space="preserve"> de 2013.</w:t>
      </w:r>
      <w:r w:rsidR="00526D53">
        <w:tab/>
      </w:r>
    </w:p>
    <w:p w:rsidR="00B113E7" w:rsidRPr="00630D36" w:rsidRDefault="00B113E7" w:rsidP="00526D53">
      <w:pPr>
        <w:tabs>
          <w:tab w:val="right" w:leader="hyphen" w:pos="9072"/>
        </w:tabs>
        <w:ind w:right="44"/>
        <w:jc w:val="both"/>
        <w:rPr>
          <w:rFonts w:ascii="Arial" w:hAnsi="Arial" w:cs="Arial"/>
          <w:lang w:val="es-MX"/>
        </w:rPr>
      </w:pPr>
    </w:p>
    <w:p w:rsidR="00B113E7" w:rsidRPr="00630D36" w:rsidRDefault="00B113E7" w:rsidP="00526D53">
      <w:pPr>
        <w:pStyle w:val="Textoindependiente2"/>
        <w:tabs>
          <w:tab w:val="right" w:leader="hyphen" w:pos="9072"/>
        </w:tabs>
        <w:ind w:right="44"/>
      </w:pPr>
      <w:r w:rsidRPr="00630D36">
        <w:t xml:space="preserve">---V I S T O para resolver los autos del expediente identificado al rubro, y: </w:t>
      </w:r>
      <w:r w:rsidR="00526D53">
        <w:tab/>
      </w:r>
    </w:p>
    <w:p w:rsidR="00B113E7" w:rsidRPr="00630D36" w:rsidRDefault="00B113E7" w:rsidP="00526D53">
      <w:pPr>
        <w:pStyle w:val="Textoindependiente2"/>
        <w:tabs>
          <w:tab w:val="right" w:leader="hyphen" w:pos="9072"/>
        </w:tabs>
        <w:ind w:right="44"/>
      </w:pPr>
    </w:p>
    <w:p w:rsidR="00B113E7" w:rsidRPr="00630D36" w:rsidRDefault="00526D53" w:rsidP="00526D53">
      <w:pPr>
        <w:tabs>
          <w:tab w:val="right" w:leader="hyphen" w:pos="9072"/>
        </w:tabs>
        <w:ind w:right="44"/>
        <w:jc w:val="center"/>
        <w:rPr>
          <w:rFonts w:ascii="Arial" w:hAnsi="Arial" w:cs="Arial"/>
          <w:b/>
          <w:bCs/>
          <w:lang w:val="es-MX"/>
        </w:rPr>
      </w:pPr>
      <w:r>
        <w:rPr>
          <w:rFonts w:ascii="Arial" w:hAnsi="Arial" w:cs="Arial"/>
          <w:b/>
          <w:bCs/>
          <w:lang w:val="es-MX"/>
        </w:rPr>
        <w:t>----------------------------------------</w:t>
      </w:r>
      <w:r w:rsidR="00B113E7" w:rsidRPr="00630D36">
        <w:rPr>
          <w:rFonts w:ascii="Arial" w:hAnsi="Arial" w:cs="Arial"/>
          <w:b/>
          <w:bCs/>
          <w:lang w:val="es-MX"/>
        </w:rPr>
        <w:t>R E S U L T A N D O</w:t>
      </w:r>
      <w:r>
        <w:rPr>
          <w:rFonts w:ascii="Arial" w:hAnsi="Arial" w:cs="Arial"/>
          <w:b/>
          <w:bCs/>
          <w:lang w:val="es-MX"/>
        </w:rPr>
        <w:tab/>
      </w:r>
    </w:p>
    <w:p w:rsidR="00B113E7" w:rsidRPr="00630D36" w:rsidRDefault="00B113E7" w:rsidP="00526D53">
      <w:pPr>
        <w:tabs>
          <w:tab w:val="right" w:leader="hyphen" w:pos="9072"/>
        </w:tabs>
        <w:ind w:right="44"/>
        <w:jc w:val="both"/>
        <w:rPr>
          <w:rFonts w:ascii="Arial" w:hAnsi="Arial" w:cs="Arial"/>
          <w:b/>
          <w:bCs/>
          <w:lang w:val="es-MX"/>
        </w:rPr>
      </w:pPr>
    </w:p>
    <w:p w:rsidR="001A3F77" w:rsidRDefault="00B113E7" w:rsidP="00526D53">
      <w:pPr>
        <w:tabs>
          <w:tab w:val="right" w:leader="hyphen" w:pos="9072"/>
        </w:tabs>
        <w:ind w:right="-283"/>
        <w:jc w:val="both"/>
        <w:rPr>
          <w:rFonts w:ascii="Arial" w:hAnsi="Arial" w:cs="Arial"/>
        </w:rPr>
      </w:pPr>
      <w:r>
        <w:rPr>
          <w:rFonts w:ascii="Arial" w:hAnsi="Arial" w:cs="Arial"/>
          <w:b/>
          <w:lang w:val="es-MX"/>
        </w:rPr>
        <w:t>---</w:t>
      </w:r>
      <w:r w:rsidRPr="00630D36">
        <w:rPr>
          <w:rFonts w:ascii="Arial" w:hAnsi="Arial" w:cs="Arial"/>
          <w:b/>
          <w:lang w:val="es-MX"/>
        </w:rPr>
        <w:t>1.</w:t>
      </w:r>
      <w:r w:rsidRPr="00630D36">
        <w:rPr>
          <w:rFonts w:ascii="Arial" w:hAnsi="Arial" w:cs="Arial"/>
          <w:lang w:val="es-MX"/>
        </w:rPr>
        <w:t xml:space="preserve"> </w:t>
      </w:r>
      <w:r>
        <w:rPr>
          <w:rFonts w:ascii="Arial" w:hAnsi="Arial" w:cs="Arial"/>
          <w:lang w:val="es-MX"/>
        </w:rPr>
        <w:t xml:space="preserve">Qué con </w:t>
      </w:r>
      <w:r w:rsidRPr="00630D36">
        <w:rPr>
          <w:rFonts w:ascii="Arial" w:hAnsi="Arial" w:cs="Arial"/>
          <w:lang w:val="es-MX"/>
        </w:rPr>
        <w:t xml:space="preserve">fecha </w:t>
      </w:r>
      <w:r w:rsidR="00325012">
        <w:rPr>
          <w:rFonts w:ascii="Arial" w:hAnsi="Arial" w:cs="Arial"/>
          <w:lang w:val="es-MX"/>
        </w:rPr>
        <w:t>19</w:t>
      </w:r>
      <w:r w:rsidRPr="00630D36">
        <w:rPr>
          <w:rFonts w:ascii="Arial" w:hAnsi="Arial" w:cs="Arial"/>
          <w:lang w:val="es-MX"/>
        </w:rPr>
        <w:t xml:space="preserve"> de </w:t>
      </w:r>
      <w:r w:rsidR="00325012">
        <w:rPr>
          <w:rFonts w:ascii="Arial" w:hAnsi="Arial" w:cs="Arial"/>
          <w:lang w:val="es-MX"/>
        </w:rPr>
        <w:t>Junio de 2013, el</w:t>
      </w:r>
      <w:r>
        <w:rPr>
          <w:rFonts w:ascii="Arial" w:hAnsi="Arial" w:cs="Arial"/>
          <w:lang w:val="es-MX"/>
        </w:rPr>
        <w:t xml:space="preserve"> Lic. Diego Octavio Lizárraga Motta, </w:t>
      </w:r>
      <w:r w:rsidRPr="00630D36">
        <w:rPr>
          <w:rFonts w:ascii="Arial" w:hAnsi="Arial" w:cs="Arial"/>
        </w:rPr>
        <w:t>pre</w:t>
      </w:r>
      <w:r>
        <w:rPr>
          <w:rFonts w:ascii="Arial" w:hAnsi="Arial" w:cs="Arial"/>
        </w:rPr>
        <w:t xml:space="preserve">sentó ante el Consejo Distrital número XXII con cabecera en la Ciudad de El Rosario, </w:t>
      </w:r>
      <w:r w:rsidRPr="00630D36">
        <w:rPr>
          <w:rFonts w:ascii="Arial" w:hAnsi="Arial" w:cs="Arial"/>
        </w:rPr>
        <w:t>un escrito mediante el cual hace valer lo que</w:t>
      </w:r>
      <w:r>
        <w:rPr>
          <w:rFonts w:ascii="Arial" w:hAnsi="Arial" w:cs="Arial"/>
        </w:rPr>
        <w:t xml:space="preserve"> denomina Queja Administrativa en contra de la Coalición </w:t>
      </w:r>
      <w:r w:rsidR="00325012">
        <w:rPr>
          <w:rFonts w:ascii="Arial" w:hAnsi="Arial" w:cs="Arial"/>
        </w:rPr>
        <w:t>“Unidos Ganas Tú”</w:t>
      </w:r>
      <w:r>
        <w:rPr>
          <w:rFonts w:ascii="Arial" w:hAnsi="Arial" w:cs="Arial"/>
        </w:rPr>
        <w:t xml:space="preserve"> y</w:t>
      </w:r>
      <w:r w:rsidR="00834B50">
        <w:rPr>
          <w:rFonts w:ascii="Arial" w:hAnsi="Arial" w:cs="Arial"/>
        </w:rPr>
        <w:t xml:space="preserve"> </w:t>
      </w:r>
      <w:r w:rsidR="00325012">
        <w:rPr>
          <w:rFonts w:ascii="Arial" w:hAnsi="Arial" w:cs="Arial"/>
        </w:rPr>
        <w:t xml:space="preserve">los CC. </w:t>
      </w:r>
      <w:r>
        <w:rPr>
          <w:rFonts w:ascii="Arial" w:hAnsi="Arial" w:cs="Arial"/>
        </w:rPr>
        <w:t>Manuel Antonio Pineda Domínguez y Edgar A</w:t>
      </w:r>
      <w:r w:rsidR="00290522">
        <w:rPr>
          <w:rFonts w:ascii="Arial" w:hAnsi="Arial" w:cs="Arial"/>
        </w:rPr>
        <w:t>u</w:t>
      </w:r>
      <w:r>
        <w:rPr>
          <w:rFonts w:ascii="Arial" w:hAnsi="Arial" w:cs="Arial"/>
        </w:rPr>
        <w:t>gusto González Zatarain,</w:t>
      </w:r>
      <w:r w:rsidR="00325012">
        <w:rPr>
          <w:rFonts w:ascii="Arial" w:hAnsi="Arial" w:cs="Arial"/>
        </w:rPr>
        <w:t xml:space="preserve"> a quienes sin señalar específicamente, según su dicho, violan las disposiciones aplicables en la Ley Electoral y los diversos reglamentos y acuerdos emitidos por el Consejo Estatal Electoral</w:t>
      </w:r>
      <w:r w:rsidR="001A3F77">
        <w:rPr>
          <w:rFonts w:ascii="Arial" w:hAnsi="Arial" w:cs="Arial"/>
        </w:rPr>
        <w:t>.</w:t>
      </w:r>
      <w:r w:rsidR="00526D53">
        <w:rPr>
          <w:rFonts w:ascii="Arial" w:hAnsi="Arial" w:cs="Arial"/>
        </w:rPr>
        <w:tab/>
      </w:r>
    </w:p>
    <w:p w:rsidR="001A3F77" w:rsidRDefault="001A3F77" w:rsidP="00526D53">
      <w:pPr>
        <w:tabs>
          <w:tab w:val="right" w:leader="hyphen" w:pos="9072"/>
        </w:tabs>
        <w:ind w:right="-283"/>
        <w:jc w:val="both"/>
        <w:rPr>
          <w:rFonts w:ascii="Arial" w:hAnsi="Arial" w:cs="Arial"/>
        </w:rPr>
      </w:pPr>
    </w:p>
    <w:p w:rsidR="00B113E7" w:rsidRPr="001A3F77" w:rsidRDefault="00B113E7" w:rsidP="00526D53">
      <w:pPr>
        <w:tabs>
          <w:tab w:val="right" w:leader="hyphen" w:pos="9072"/>
        </w:tabs>
        <w:ind w:right="-283"/>
        <w:jc w:val="both"/>
        <w:rPr>
          <w:rFonts w:ascii="Arial" w:hAnsi="Arial" w:cs="Arial"/>
          <w:b/>
          <w:lang w:val="es-MX"/>
        </w:rPr>
      </w:pPr>
      <w:r w:rsidRPr="001A3F77">
        <w:rPr>
          <w:rFonts w:ascii="Arial" w:hAnsi="Arial" w:cs="Arial"/>
          <w:b/>
          <w:lang w:val="es-MX"/>
        </w:rPr>
        <w:t xml:space="preserve">---2. </w:t>
      </w:r>
      <w:r w:rsidR="001A3F77" w:rsidRPr="00CB4273">
        <w:rPr>
          <w:rFonts w:ascii="Arial" w:hAnsi="Arial" w:cs="Arial"/>
          <w:lang w:val="es-ES_tradnl"/>
        </w:rPr>
        <w:t xml:space="preserve">El </w:t>
      </w:r>
      <w:r w:rsidR="001A3F77">
        <w:rPr>
          <w:rFonts w:ascii="Arial" w:hAnsi="Arial" w:cs="Arial"/>
          <w:lang w:val="es-ES_tradnl"/>
        </w:rPr>
        <w:t>30</w:t>
      </w:r>
      <w:r w:rsidR="001A3F77" w:rsidRPr="00CB4273">
        <w:rPr>
          <w:rFonts w:ascii="Arial" w:hAnsi="Arial" w:cs="Arial"/>
          <w:lang w:val="es-ES_tradnl"/>
        </w:rPr>
        <w:t xml:space="preserve"> de ju</w:t>
      </w:r>
      <w:r w:rsidR="001A3F77">
        <w:rPr>
          <w:rFonts w:ascii="Arial" w:hAnsi="Arial" w:cs="Arial"/>
          <w:lang w:val="es-ES_tradnl"/>
        </w:rPr>
        <w:t>ni</w:t>
      </w:r>
      <w:r w:rsidR="001A3F77" w:rsidRPr="00CB4273">
        <w:rPr>
          <w:rFonts w:ascii="Arial" w:hAnsi="Arial" w:cs="Arial"/>
          <w:lang w:val="es-ES_tradnl"/>
        </w:rPr>
        <w:t xml:space="preserve">o del año en curso, </w:t>
      </w:r>
      <w:r w:rsidR="001A3F77" w:rsidRPr="00CB4273">
        <w:rPr>
          <w:rFonts w:ascii="Arial" w:hAnsi="Arial" w:cs="Arial"/>
        </w:rPr>
        <w:t xml:space="preserve">el Secretario General de este órgano electoral turno el escrito aludido a </w:t>
      </w:r>
      <w:r w:rsidR="001A3F77" w:rsidRPr="00CB4273">
        <w:rPr>
          <w:rFonts w:ascii="Arial" w:hAnsi="Arial" w:cs="Arial"/>
          <w:lang w:val="es-ES_tradnl"/>
        </w:rPr>
        <w:t xml:space="preserve">la </w:t>
      </w:r>
      <w:r w:rsidR="001A3F77" w:rsidRPr="00CB4273">
        <w:rPr>
          <w:rFonts w:ascii="Arial" w:hAnsi="Arial" w:cs="Arial"/>
          <w:lang w:val="es-MX"/>
        </w:rPr>
        <w:t xml:space="preserve">Comisión de Organización y Vigilancia Electoral </w:t>
      </w:r>
      <w:r w:rsidR="001A3F77" w:rsidRPr="00CB4273">
        <w:rPr>
          <w:rFonts w:ascii="Arial" w:hAnsi="Arial" w:cs="Arial"/>
          <w:lang w:val="es-ES_tradnl"/>
        </w:rPr>
        <w:t>para su estudio y elaboración del proyecto de acuerdo correspondiente</w:t>
      </w:r>
      <w:r w:rsidR="001A3F77">
        <w:rPr>
          <w:rFonts w:ascii="Arial" w:hAnsi="Arial" w:cs="Arial"/>
          <w:lang w:val="es-ES_tradnl"/>
        </w:rPr>
        <w:t>.</w:t>
      </w:r>
      <w:r w:rsidR="00526D53">
        <w:rPr>
          <w:rFonts w:ascii="Arial" w:hAnsi="Arial" w:cs="Arial"/>
          <w:lang w:val="es-ES_tradnl"/>
        </w:rPr>
        <w:tab/>
      </w:r>
    </w:p>
    <w:p w:rsidR="00B113E7" w:rsidRDefault="00B113E7" w:rsidP="00526D53">
      <w:pPr>
        <w:pStyle w:val="Textoindependiente3"/>
        <w:tabs>
          <w:tab w:val="right" w:leader="hyphen" w:pos="9072"/>
        </w:tabs>
        <w:rPr>
          <w:b/>
          <w:lang w:val="es-MX"/>
        </w:rPr>
      </w:pPr>
    </w:p>
    <w:p w:rsidR="00B113E7" w:rsidRDefault="00B113E7" w:rsidP="00526D53">
      <w:pPr>
        <w:tabs>
          <w:tab w:val="right" w:leader="hyphen" w:pos="9072"/>
        </w:tabs>
        <w:ind w:right="-283"/>
        <w:jc w:val="both"/>
        <w:rPr>
          <w:rFonts w:ascii="Arial" w:hAnsi="Arial" w:cs="Arial"/>
        </w:rPr>
      </w:pPr>
      <w:r>
        <w:rPr>
          <w:rFonts w:ascii="Arial" w:hAnsi="Arial" w:cs="Arial"/>
          <w:b/>
          <w:lang w:val="es-ES_tradnl"/>
        </w:rPr>
        <w:t>---3</w:t>
      </w:r>
      <w:r w:rsidRPr="00630D36">
        <w:rPr>
          <w:rFonts w:ascii="Arial" w:hAnsi="Arial" w:cs="Arial"/>
          <w:b/>
          <w:lang w:val="es-ES_tradnl"/>
        </w:rPr>
        <w:t>.</w:t>
      </w:r>
      <w:r w:rsidRPr="00630D36">
        <w:rPr>
          <w:rFonts w:ascii="Arial" w:hAnsi="Arial" w:cs="Arial"/>
          <w:lang w:val="es-ES_tradnl"/>
        </w:rPr>
        <w:t xml:space="preserve"> </w:t>
      </w:r>
      <w:r w:rsidRPr="001A3F77">
        <w:rPr>
          <w:rFonts w:ascii="Arial" w:hAnsi="Arial" w:cs="Arial"/>
          <w:lang w:val="es-ES_tradnl"/>
        </w:rPr>
        <w:t xml:space="preserve">La </w:t>
      </w:r>
      <w:r w:rsidRPr="001A3F77">
        <w:rPr>
          <w:rFonts w:ascii="Arial" w:hAnsi="Arial" w:cs="Arial"/>
          <w:lang w:val="es-MX"/>
        </w:rPr>
        <w:t xml:space="preserve">Comisión de Organización y Vigilancia Electoral, el día </w:t>
      </w:r>
      <w:r w:rsidR="001A3F77" w:rsidRPr="001A3F77">
        <w:rPr>
          <w:rFonts w:ascii="Arial" w:hAnsi="Arial" w:cs="Arial"/>
          <w:lang w:val="es-MX"/>
        </w:rPr>
        <w:t>05</w:t>
      </w:r>
      <w:r w:rsidRPr="001A3F77">
        <w:rPr>
          <w:rFonts w:ascii="Arial" w:hAnsi="Arial" w:cs="Arial"/>
          <w:lang w:val="es-MX"/>
        </w:rPr>
        <w:t xml:space="preserve"> de </w:t>
      </w:r>
      <w:r w:rsidR="001A3F77" w:rsidRPr="001A3F77">
        <w:rPr>
          <w:rFonts w:ascii="Arial" w:hAnsi="Arial" w:cs="Arial"/>
          <w:lang w:val="es-MX"/>
        </w:rPr>
        <w:t>julio</w:t>
      </w:r>
      <w:r w:rsidRPr="001A3F77">
        <w:rPr>
          <w:rFonts w:ascii="Arial" w:hAnsi="Arial" w:cs="Arial"/>
          <w:lang w:val="es-MX"/>
        </w:rPr>
        <w:t xml:space="preserve"> de 2013, </w:t>
      </w:r>
      <w:r w:rsidRPr="001A3F77">
        <w:rPr>
          <w:rFonts w:ascii="Arial" w:hAnsi="Arial" w:cs="Arial"/>
        </w:rPr>
        <w:t>emitió un acuerdo en términos del artículo 251 de de la Ley Electoral del Estado de Sinaloa; mismo que se reproduce íntegramente a continuación:</w:t>
      </w:r>
      <w:r w:rsidRPr="00630D36">
        <w:rPr>
          <w:rFonts w:ascii="Arial" w:hAnsi="Arial" w:cs="Arial"/>
        </w:rPr>
        <w:t xml:space="preserve"> </w:t>
      </w:r>
      <w:r w:rsidR="00526D53">
        <w:rPr>
          <w:rFonts w:ascii="Arial" w:hAnsi="Arial" w:cs="Arial"/>
        </w:rPr>
        <w:tab/>
      </w:r>
    </w:p>
    <w:p w:rsidR="001A3F77" w:rsidRDefault="001A3F77" w:rsidP="00526D53">
      <w:pPr>
        <w:tabs>
          <w:tab w:val="right" w:leader="hyphen" w:pos="9072"/>
        </w:tabs>
        <w:ind w:right="-283"/>
        <w:jc w:val="both"/>
        <w:rPr>
          <w:rFonts w:ascii="Arial" w:hAnsi="Arial" w:cs="Arial"/>
        </w:rPr>
      </w:pPr>
    </w:p>
    <w:p w:rsidR="001A3F77" w:rsidRPr="001A3F77" w:rsidRDefault="001A3F77" w:rsidP="00526D53">
      <w:pPr>
        <w:tabs>
          <w:tab w:val="right" w:leader="hyphen" w:pos="9072"/>
        </w:tabs>
        <w:ind w:left="567" w:right="284"/>
        <w:jc w:val="both"/>
        <w:rPr>
          <w:rFonts w:ascii="Arial" w:hAnsi="Arial" w:cs="Arial"/>
          <w:sz w:val="20"/>
          <w:szCs w:val="20"/>
        </w:rPr>
      </w:pPr>
      <w:r w:rsidRPr="001A3F77">
        <w:rPr>
          <w:rFonts w:ascii="Arial" w:hAnsi="Arial" w:cs="Arial"/>
          <w:sz w:val="20"/>
          <w:szCs w:val="20"/>
        </w:rPr>
        <w:t>---En Culiacán Rosales, Sinaloa, México, a 05 de julio del año 2013.----------------------------</w:t>
      </w:r>
    </w:p>
    <w:p w:rsidR="001A3F77" w:rsidRPr="001A3F77" w:rsidRDefault="001A3F77" w:rsidP="00526D53">
      <w:pPr>
        <w:tabs>
          <w:tab w:val="right" w:leader="hyphen" w:pos="9072"/>
        </w:tabs>
        <w:ind w:left="567" w:right="284"/>
        <w:jc w:val="both"/>
        <w:rPr>
          <w:rFonts w:ascii="Arial" w:hAnsi="Arial" w:cs="Arial"/>
          <w:sz w:val="20"/>
          <w:szCs w:val="20"/>
        </w:rPr>
      </w:pPr>
    </w:p>
    <w:p w:rsidR="001A3F77" w:rsidRPr="001A3F77" w:rsidRDefault="001A3F77" w:rsidP="00526D53">
      <w:pPr>
        <w:pStyle w:val="Textoindependiente"/>
        <w:tabs>
          <w:tab w:val="right" w:leader="hyphen" w:pos="9072"/>
        </w:tabs>
        <w:ind w:left="567" w:right="284"/>
        <w:rPr>
          <w:rFonts w:ascii="Arial" w:hAnsi="Arial" w:cs="Arial"/>
          <w:b w:val="0"/>
          <w:sz w:val="20"/>
          <w:szCs w:val="20"/>
        </w:rPr>
      </w:pPr>
      <w:r w:rsidRPr="001A3F77">
        <w:rPr>
          <w:rFonts w:ascii="Arial" w:hAnsi="Arial" w:cs="Arial"/>
          <w:b w:val="0"/>
          <w:sz w:val="20"/>
          <w:szCs w:val="20"/>
        </w:rPr>
        <w:t>---Téngase por recibido el escrito de fecha 30 de junio del presente año, girado por la Secretaría General del Consejo Estatal Electoral, mediante el cual turna a esta Comisión de Organización y Vigilancia Electoral, el oficio CDE/XXII/0383/2013 signado por el</w:t>
      </w:r>
      <w:r w:rsidR="00834B50">
        <w:rPr>
          <w:rFonts w:ascii="Arial" w:hAnsi="Arial" w:cs="Arial"/>
          <w:b w:val="0"/>
          <w:sz w:val="20"/>
          <w:szCs w:val="20"/>
        </w:rPr>
        <w:t xml:space="preserve"> </w:t>
      </w:r>
      <w:r w:rsidRPr="001A3F77">
        <w:rPr>
          <w:rFonts w:ascii="Arial" w:hAnsi="Arial" w:cs="Arial"/>
          <w:b w:val="0"/>
          <w:sz w:val="20"/>
          <w:szCs w:val="20"/>
        </w:rPr>
        <w:t>Lic. Jorge Lorenzo Aguilar Sarabia, Presidente del XXII Consejo Distrital Electoral, recibido por esa Secretaría, el día 29 de junio del presente año y por el cual turna a este Consejo Estatal Electoral el escrito presentado a las 13:21 horas del día 19 de junio de 2013, por el Lic. Diego Octavio Lizárraga Motta, Representante propietario de la Coalición Transformemos Sinaloa ante el XXII Consejo Distrital Electoral, mediante el cual interpone Queja Administrativa en contra de la Coalición Unidos Ganas Tú y los Candidatos Manuel Antonio Pineda Domínguez y Edgar Augusto González Zatarain.--</w:t>
      </w:r>
      <w:r>
        <w:rPr>
          <w:rFonts w:ascii="Arial" w:hAnsi="Arial" w:cs="Arial"/>
          <w:b w:val="0"/>
          <w:sz w:val="20"/>
          <w:szCs w:val="20"/>
        </w:rPr>
        <w:t>----</w:t>
      </w:r>
    </w:p>
    <w:p w:rsidR="001A3F77" w:rsidRPr="001A3F77" w:rsidRDefault="001A3F77" w:rsidP="00526D53">
      <w:pPr>
        <w:pStyle w:val="Textoindependiente"/>
        <w:tabs>
          <w:tab w:val="right" w:leader="hyphen" w:pos="9072"/>
        </w:tabs>
        <w:ind w:left="567" w:right="284"/>
        <w:rPr>
          <w:rFonts w:ascii="Arial" w:hAnsi="Arial" w:cs="Arial"/>
          <w:b w:val="0"/>
          <w:sz w:val="20"/>
          <w:szCs w:val="20"/>
        </w:rPr>
      </w:pPr>
    </w:p>
    <w:p w:rsidR="001A3F77" w:rsidRPr="001A3F77" w:rsidRDefault="001A3F77" w:rsidP="00526D53">
      <w:pPr>
        <w:pStyle w:val="Textoindependiente"/>
        <w:tabs>
          <w:tab w:val="right" w:leader="hyphen" w:pos="9072"/>
        </w:tabs>
        <w:ind w:left="567" w:right="284"/>
        <w:rPr>
          <w:rFonts w:ascii="Arial" w:hAnsi="Arial" w:cs="Arial"/>
          <w:b w:val="0"/>
          <w:sz w:val="20"/>
          <w:szCs w:val="20"/>
        </w:rPr>
      </w:pPr>
      <w:r w:rsidRPr="001A3F77">
        <w:rPr>
          <w:rFonts w:ascii="Arial" w:hAnsi="Arial" w:cs="Arial"/>
          <w:b w:val="0"/>
          <w:sz w:val="20"/>
          <w:szCs w:val="20"/>
        </w:rPr>
        <w:t>---En virtud que del escrito interpuesto por el Lic. Diego Octavio Lizárraga Motta, Representante propietario de la Coalición Transformemos Sinaloa ante el XXII Consejo Distrital Electoral, a dicho del promovente se desprenden presuntas violaciones -sin señalar específicamente- a lo dispuesto en la Ley Electoral del Estado de Sinaloa y de diversos Reglamentos emitidos por el Consejo Estatal Electoral; y dado que en el contenido del escrito no se aprecian las disposiciones que a juicio del quejoso se hubieren infringido, por consiguiente, requiérase al quejoso, Lic. Diego Octavio Lizárraga Motta, Representante propietario de la Coalición Transformemos Sinaloa ante el XXII Consejo Distrital Electoral en el domicilio que tiene señalado ante dicho consejo distrital, a efecto de que subsane en un término improrrogable de cinco días, a partir del día siguiente de que se le notifique el presente proveído, el requisito previsto en la fracción IV del Artículo 251 de la Ley Electoral del Estado, apercibido que de no hacerlo, se desechara de plano la Queja Administrativa interpuesta, en los términos del cuarto párrafo del citado artículo.-----------------------</w:t>
      </w:r>
      <w:r>
        <w:rPr>
          <w:rFonts w:ascii="Arial" w:hAnsi="Arial" w:cs="Arial"/>
          <w:b w:val="0"/>
          <w:sz w:val="20"/>
          <w:szCs w:val="20"/>
        </w:rPr>
        <w:t>-------------------------------------------------------------</w:t>
      </w:r>
    </w:p>
    <w:p w:rsidR="001A3F77" w:rsidRPr="001A3F77" w:rsidRDefault="001A3F77" w:rsidP="00526D53">
      <w:pPr>
        <w:pStyle w:val="Textoindependiente"/>
        <w:tabs>
          <w:tab w:val="right" w:leader="hyphen" w:pos="9072"/>
        </w:tabs>
        <w:ind w:left="567" w:right="284"/>
        <w:rPr>
          <w:rFonts w:ascii="Arial" w:hAnsi="Arial" w:cs="Arial"/>
          <w:b w:val="0"/>
          <w:sz w:val="20"/>
          <w:szCs w:val="20"/>
        </w:rPr>
      </w:pPr>
    </w:p>
    <w:p w:rsidR="001A3F77" w:rsidRPr="001A3F77" w:rsidRDefault="001A3F77" w:rsidP="00526D53">
      <w:pPr>
        <w:pStyle w:val="Textoindependiente"/>
        <w:tabs>
          <w:tab w:val="right" w:leader="hyphen" w:pos="9072"/>
        </w:tabs>
        <w:ind w:left="567" w:right="284"/>
        <w:rPr>
          <w:rFonts w:ascii="Arial" w:hAnsi="Arial" w:cs="Arial"/>
          <w:b w:val="0"/>
          <w:sz w:val="20"/>
          <w:szCs w:val="20"/>
        </w:rPr>
      </w:pPr>
      <w:r w:rsidRPr="001A3F77">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1A3F77">
          <w:rPr>
            <w:rFonts w:ascii="Arial" w:hAnsi="Arial" w:cs="Arial"/>
            <w:b w:val="0"/>
            <w:sz w:val="20"/>
            <w:szCs w:val="20"/>
          </w:rPr>
          <w:t>la Comisión</w:t>
        </w:r>
      </w:smartTag>
      <w:r w:rsidRPr="001A3F77">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1A3F77" w:rsidRPr="001A3F77" w:rsidRDefault="001A3F77" w:rsidP="00526D53">
      <w:pPr>
        <w:pStyle w:val="Textoindependiente"/>
        <w:tabs>
          <w:tab w:val="right" w:leader="hyphen" w:pos="9072"/>
        </w:tabs>
        <w:ind w:left="567" w:right="284"/>
        <w:rPr>
          <w:rFonts w:ascii="Arial" w:hAnsi="Arial" w:cs="Arial"/>
          <w:b w:val="0"/>
          <w:sz w:val="20"/>
          <w:szCs w:val="20"/>
        </w:rPr>
      </w:pPr>
    </w:p>
    <w:p w:rsidR="00B113E7" w:rsidRDefault="00B113E7" w:rsidP="00526D53">
      <w:pPr>
        <w:tabs>
          <w:tab w:val="right" w:leader="hyphen" w:pos="9072"/>
        </w:tabs>
        <w:ind w:right="-283"/>
        <w:jc w:val="both"/>
        <w:rPr>
          <w:rFonts w:ascii="Arial" w:hAnsi="Arial" w:cs="Arial"/>
          <w:sz w:val="20"/>
          <w:szCs w:val="20"/>
          <w:lang w:val="es-MX"/>
        </w:rPr>
      </w:pPr>
      <w:r>
        <w:rPr>
          <w:rFonts w:ascii="Arial" w:hAnsi="Arial" w:cs="Arial"/>
          <w:b/>
        </w:rPr>
        <w:t xml:space="preserve">---4. </w:t>
      </w:r>
      <w:r>
        <w:rPr>
          <w:rFonts w:ascii="Arial" w:hAnsi="Arial" w:cs="Arial"/>
        </w:rPr>
        <w:t>E</w:t>
      </w:r>
      <w:r w:rsidRPr="00F01F29">
        <w:rPr>
          <w:rFonts w:ascii="Arial" w:hAnsi="Arial" w:cs="Arial"/>
        </w:rPr>
        <w:t>l artículo 56, fracción XXVI de la Ley Electoral del Estado de Sinaloa, en concordancia con el ordinal 68, fracción II del Reglamento Interior del Consejo Estatal Elector</w:t>
      </w:r>
      <w:r>
        <w:rPr>
          <w:rFonts w:ascii="Arial" w:hAnsi="Arial" w:cs="Arial"/>
        </w:rPr>
        <w:t>al de Sinaloa y el acuerdo EXT/01</w:t>
      </w:r>
      <w:r w:rsidRPr="00F01F29">
        <w:rPr>
          <w:rFonts w:ascii="Arial" w:hAnsi="Arial" w:cs="Arial"/>
        </w:rPr>
        <w:t>/00</w:t>
      </w:r>
      <w:r>
        <w:rPr>
          <w:rFonts w:ascii="Arial" w:hAnsi="Arial" w:cs="Arial"/>
        </w:rPr>
        <w:t>2</w:t>
      </w:r>
      <w:r w:rsidRPr="00F01F29">
        <w:rPr>
          <w:rFonts w:ascii="Arial" w:hAnsi="Arial" w:cs="Arial"/>
        </w:rPr>
        <w:t xml:space="preserve"> a</w:t>
      </w:r>
      <w:r>
        <w:rPr>
          <w:rFonts w:ascii="Arial" w:hAnsi="Arial" w:cs="Arial"/>
        </w:rPr>
        <w:t>probado por el pleno con fecha 1</w:t>
      </w:r>
      <w:r w:rsidRPr="00F01F29">
        <w:rPr>
          <w:rFonts w:ascii="Arial" w:hAnsi="Arial" w:cs="Arial"/>
        </w:rPr>
        <w:t>1 de enero de 201</w:t>
      </w:r>
      <w:r>
        <w:rPr>
          <w:rFonts w:ascii="Arial" w:hAnsi="Arial" w:cs="Arial"/>
        </w:rPr>
        <w:t>3</w:t>
      </w:r>
      <w:r w:rsidRPr="00F01F29">
        <w:rPr>
          <w:rFonts w:ascii="Arial" w:hAnsi="Arial" w:cs="Arial"/>
        </w:rPr>
        <w:t>,</w:t>
      </w:r>
      <w:r w:rsidR="00834B50">
        <w:rPr>
          <w:rFonts w:ascii="Arial" w:hAnsi="Arial" w:cs="Arial"/>
        </w:rPr>
        <w:t xml:space="preserve"> </w:t>
      </w:r>
      <w:r w:rsidRPr="00F01F29">
        <w:rPr>
          <w:rFonts w:ascii="Arial" w:hAnsi="Arial" w:cs="Arial"/>
        </w:rPr>
        <w:t>fundamentan</w:t>
      </w:r>
      <w:r w:rsidR="00834B50">
        <w:rPr>
          <w:rFonts w:ascii="Arial" w:hAnsi="Arial" w:cs="Arial"/>
        </w:rPr>
        <w:t xml:space="preserve"> </w:t>
      </w:r>
      <w:r w:rsidRPr="00F01F29">
        <w:rPr>
          <w:rFonts w:ascii="Arial" w:hAnsi="Arial" w:cs="Arial"/>
        </w:rPr>
        <w:t>la integración de la Comisión de Organización y Vigilancia Electoral de la cual los suscritos somos integrantes</w:t>
      </w:r>
      <w:r>
        <w:rPr>
          <w:rFonts w:ascii="Arial" w:hAnsi="Arial" w:cs="Arial"/>
        </w:rPr>
        <w:t>, y</w:t>
      </w:r>
      <w:r w:rsidRPr="00F01F29">
        <w:rPr>
          <w:rFonts w:ascii="Arial" w:hAnsi="Arial" w:cs="Arial"/>
        </w:rPr>
        <w:t>;</w:t>
      </w:r>
      <w:r w:rsidR="00526D53">
        <w:rPr>
          <w:rFonts w:ascii="Arial" w:hAnsi="Arial" w:cs="Arial"/>
        </w:rPr>
        <w:tab/>
      </w:r>
      <w:r w:rsidRPr="00F01F29">
        <w:rPr>
          <w:rFonts w:ascii="Arial" w:hAnsi="Arial" w:cs="Arial"/>
          <w:sz w:val="20"/>
          <w:szCs w:val="20"/>
          <w:lang w:val="es-MX"/>
        </w:rPr>
        <w:t xml:space="preserve"> </w:t>
      </w:r>
    </w:p>
    <w:p w:rsidR="00B113E7" w:rsidRDefault="00B113E7" w:rsidP="00526D53">
      <w:pPr>
        <w:tabs>
          <w:tab w:val="right" w:leader="hyphen" w:pos="9072"/>
        </w:tabs>
        <w:ind w:right="-425"/>
        <w:jc w:val="both"/>
        <w:rPr>
          <w:rFonts w:ascii="Arial" w:hAnsi="Arial" w:cs="Arial"/>
          <w:b/>
        </w:rPr>
      </w:pPr>
    </w:p>
    <w:p w:rsidR="00B113E7" w:rsidRPr="009E0A1B" w:rsidRDefault="00B113E7" w:rsidP="00526D53">
      <w:pPr>
        <w:tabs>
          <w:tab w:val="right" w:leader="hyphen" w:pos="9072"/>
        </w:tabs>
        <w:autoSpaceDE w:val="0"/>
        <w:autoSpaceDN w:val="0"/>
        <w:adjustRightInd w:val="0"/>
        <w:ind w:right="-283"/>
        <w:jc w:val="both"/>
        <w:rPr>
          <w:rFonts w:ascii="Arial" w:hAnsi="Arial" w:cs="Arial"/>
          <w:b/>
        </w:rPr>
      </w:pPr>
      <w:r>
        <w:rPr>
          <w:rFonts w:ascii="Arial" w:hAnsi="Arial" w:cs="Arial"/>
          <w:b/>
        </w:rPr>
        <w:t xml:space="preserve">---5. </w:t>
      </w:r>
      <w:r>
        <w:rPr>
          <w:rFonts w:ascii="Arial" w:hAnsi="Arial" w:cs="Arial"/>
        </w:rPr>
        <w:t xml:space="preserve">Que </w:t>
      </w:r>
      <w:r w:rsidR="00641BF0">
        <w:rPr>
          <w:rFonts w:ascii="Arial" w:hAnsi="Arial" w:cs="Arial"/>
        </w:rPr>
        <w:t>en virtud de que el quejoso no dio cumplimiento en tiempo y forma al requerimiento que se le hizo en fecha 05 de julio del año en curso</w:t>
      </w:r>
      <w:r w:rsidR="009F26C9">
        <w:rPr>
          <w:rFonts w:ascii="Arial" w:hAnsi="Arial" w:cs="Arial"/>
        </w:rPr>
        <w:t xml:space="preserve"> y </w:t>
      </w:r>
      <w:r w:rsidR="00834B50">
        <w:rPr>
          <w:rFonts w:ascii="Arial" w:hAnsi="Arial" w:cs="Arial"/>
        </w:rPr>
        <w:t>una</w:t>
      </w:r>
      <w:r w:rsidRPr="009E0A1B">
        <w:rPr>
          <w:rFonts w:ascii="Arial" w:eastAsiaTheme="minorHAnsi" w:hAnsi="Arial" w:cs="Arial"/>
          <w:lang w:val="es-MX" w:eastAsia="en-US"/>
        </w:rPr>
        <w:t xml:space="preserve"> vez analizadas las constancias que integran el expediente, se advierte que en el presente caso se actualiza una causal de i</w:t>
      </w:r>
      <w:r>
        <w:rPr>
          <w:rFonts w:ascii="Arial" w:eastAsiaTheme="minorHAnsi" w:hAnsi="Arial" w:cs="Arial"/>
          <w:lang w:val="es-MX" w:eastAsia="en-US"/>
        </w:rPr>
        <w:t>mprocedencia, específicamente lo establecido en el A</w:t>
      </w:r>
      <w:r w:rsidRPr="009E0A1B">
        <w:rPr>
          <w:rFonts w:ascii="Arial" w:eastAsiaTheme="minorHAnsi" w:hAnsi="Arial" w:cs="Arial"/>
          <w:lang w:val="es-MX" w:eastAsia="en-US"/>
        </w:rPr>
        <w:t xml:space="preserve">rtículo </w:t>
      </w:r>
      <w:r>
        <w:rPr>
          <w:rFonts w:ascii="Arial" w:eastAsiaTheme="minorHAnsi" w:hAnsi="Arial" w:cs="Arial"/>
          <w:lang w:val="es-MX" w:eastAsia="en-US"/>
        </w:rPr>
        <w:t xml:space="preserve">251 fracción IV, </w:t>
      </w:r>
      <w:r>
        <w:rPr>
          <w:rFonts w:ascii="Arial" w:hAnsi="Arial" w:cs="Arial"/>
          <w:bCs/>
        </w:rPr>
        <w:t xml:space="preserve">en relación al mismo precepto en su párrafo </w:t>
      </w:r>
      <w:r w:rsidR="009F26C9">
        <w:rPr>
          <w:rFonts w:ascii="Arial" w:hAnsi="Arial" w:cs="Arial"/>
          <w:bCs/>
        </w:rPr>
        <w:t>cuarto</w:t>
      </w:r>
      <w:r w:rsidRPr="009E0A1B">
        <w:rPr>
          <w:rFonts w:ascii="Arial" w:eastAsiaTheme="minorHAnsi" w:hAnsi="Arial" w:cs="Arial"/>
          <w:lang w:val="es-MX" w:eastAsia="en-US"/>
        </w:rPr>
        <w:t xml:space="preserve"> de la Ley </w:t>
      </w:r>
      <w:r>
        <w:rPr>
          <w:rFonts w:ascii="Arial" w:eastAsiaTheme="minorHAnsi" w:hAnsi="Arial" w:cs="Arial"/>
          <w:lang w:val="es-MX" w:eastAsia="en-US"/>
        </w:rPr>
        <w:t>Electoral del Estado de Sinaloa</w:t>
      </w:r>
      <w:r w:rsidRPr="009E0A1B">
        <w:rPr>
          <w:rFonts w:ascii="Arial" w:eastAsiaTheme="minorHAnsi" w:hAnsi="Arial" w:cs="Arial"/>
          <w:lang w:val="es-MX" w:eastAsia="en-US"/>
        </w:rPr>
        <w:t>; por lo que</w:t>
      </w:r>
      <w:r w:rsidR="00834B50">
        <w:rPr>
          <w:rFonts w:ascii="Arial" w:eastAsiaTheme="minorHAnsi" w:hAnsi="Arial" w:cs="Arial"/>
          <w:lang w:val="es-MX" w:eastAsia="en-US"/>
        </w:rPr>
        <w:t xml:space="preserve"> </w:t>
      </w:r>
      <w:r w:rsidRPr="009E0A1B">
        <w:rPr>
          <w:rFonts w:ascii="Arial" w:eastAsiaTheme="minorHAnsi" w:hAnsi="Arial" w:cs="Arial"/>
          <w:lang w:val="es-MX" w:eastAsia="en-US"/>
        </w:rPr>
        <w:t>se somete a consideración del Pleno</w:t>
      </w:r>
      <w:r>
        <w:rPr>
          <w:rFonts w:ascii="Arial" w:eastAsiaTheme="minorHAnsi" w:hAnsi="Arial" w:cs="Arial"/>
          <w:lang w:val="es-MX" w:eastAsia="en-US"/>
        </w:rPr>
        <w:t xml:space="preserve"> </w:t>
      </w:r>
      <w:r w:rsidRPr="009E0A1B">
        <w:rPr>
          <w:rFonts w:ascii="Arial" w:eastAsiaTheme="minorHAnsi" w:hAnsi="Arial" w:cs="Arial"/>
          <w:lang w:val="es-MX" w:eastAsia="en-US"/>
        </w:rPr>
        <w:t xml:space="preserve">de este </w:t>
      </w:r>
      <w:r>
        <w:rPr>
          <w:rFonts w:ascii="Arial" w:eastAsiaTheme="minorHAnsi" w:hAnsi="Arial" w:cs="Arial"/>
          <w:lang w:val="es-MX" w:eastAsia="en-US"/>
        </w:rPr>
        <w:t>órgano administrativo</w:t>
      </w:r>
      <w:r w:rsidRPr="009E0A1B">
        <w:rPr>
          <w:rFonts w:ascii="Arial" w:eastAsiaTheme="minorHAnsi" w:hAnsi="Arial" w:cs="Arial"/>
          <w:lang w:val="es-MX" w:eastAsia="en-US"/>
        </w:rPr>
        <w:t xml:space="preserve">, proyecto de </w:t>
      </w:r>
      <w:r>
        <w:rPr>
          <w:rFonts w:ascii="Arial" w:eastAsiaTheme="minorHAnsi" w:hAnsi="Arial" w:cs="Arial"/>
          <w:lang w:val="es-MX" w:eastAsia="en-US"/>
        </w:rPr>
        <w:t>dictamen</w:t>
      </w:r>
      <w:r w:rsidRPr="009E0A1B">
        <w:rPr>
          <w:rFonts w:ascii="Arial" w:eastAsiaTheme="minorHAnsi" w:hAnsi="Arial" w:cs="Arial"/>
          <w:lang w:val="es-MX" w:eastAsia="en-US"/>
        </w:rPr>
        <w:t xml:space="preserve"> que contiene </w:t>
      </w:r>
      <w:r w:rsidRPr="00883E7B">
        <w:rPr>
          <w:rFonts w:ascii="Arial" w:eastAsiaTheme="minorHAnsi" w:hAnsi="Arial" w:cs="Arial"/>
          <w:bCs/>
          <w:lang w:val="es-MX" w:eastAsia="en-US"/>
        </w:rPr>
        <w:t>Auto de Desechamiento</w:t>
      </w:r>
      <w:r w:rsidRPr="009E0A1B">
        <w:rPr>
          <w:rFonts w:ascii="Arial" w:eastAsiaTheme="minorHAnsi" w:hAnsi="Arial" w:cs="Arial"/>
          <w:lang w:val="es-MX" w:eastAsia="en-US"/>
        </w:rPr>
        <w:t>, al tenor de los siguientes;</w:t>
      </w:r>
      <w:r w:rsidR="00526D53">
        <w:rPr>
          <w:rFonts w:ascii="Arial" w:eastAsiaTheme="minorHAnsi" w:hAnsi="Arial" w:cs="Arial"/>
          <w:lang w:val="es-MX" w:eastAsia="en-US"/>
        </w:rPr>
        <w:tab/>
      </w:r>
    </w:p>
    <w:p w:rsidR="00B113E7" w:rsidRDefault="00B113E7" w:rsidP="00526D53">
      <w:pPr>
        <w:tabs>
          <w:tab w:val="right" w:leader="hyphen" w:pos="9072"/>
        </w:tabs>
        <w:ind w:right="-283"/>
        <w:jc w:val="both"/>
        <w:rPr>
          <w:rFonts w:ascii="Arial" w:hAnsi="Arial" w:cs="Arial"/>
          <w:b/>
        </w:rPr>
      </w:pPr>
    </w:p>
    <w:p w:rsidR="00B113E7" w:rsidRPr="00101634" w:rsidRDefault="00526D53" w:rsidP="00526D53">
      <w:pPr>
        <w:tabs>
          <w:tab w:val="right" w:leader="hyphen" w:pos="9072"/>
        </w:tabs>
        <w:ind w:right="44"/>
        <w:jc w:val="center"/>
        <w:rPr>
          <w:rFonts w:ascii="Arial" w:hAnsi="Arial" w:cs="Arial"/>
          <w:lang w:val="es-MX"/>
        </w:rPr>
      </w:pPr>
      <w:r>
        <w:rPr>
          <w:rFonts w:ascii="Arial" w:hAnsi="Arial" w:cs="Arial"/>
          <w:b/>
          <w:bCs/>
          <w:lang w:val="es-MX"/>
        </w:rPr>
        <w:t>-------------------------------------</w:t>
      </w:r>
      <w:r w:rsidR="00B113E7" w:rsidRPr="00101634">
        <w:rPr>
          <w:rFonts w:ascii="Arial" w:hAnsi="Arial" w:cs="Arial"/>
          <w:b/>
          <w:bCs/>
          <w:lang w:val="es-MX"/>
        </w:rPr>
        <w:t>C O N S I D E R A N D O</w:t>
      </w:r>
      <w:r>
        <w:rPr>
          <w:rFonts w:ascii="Arial" w:hAnsi="Arial" w:cs="Arial"/>
          <w:b/>
          <w:bCs/>
          <w:lang w:val="es-MX"/>
        </w:rPr>
        <w:tab/>
      </w:r>
    </w:p>
    <w:p w:rsidR="00B113E7" w:rsidRPr="00630D36" w:rsidRDefault="00B113E7" w:rsidP="00526D53">
      <w:pPr>
        <w:pStyle w:val="Textoindependiente"/>
        <w:tabs>
          <w:tab w:val="right" w:leader="hyphen" w:pos="9072"/>
        </w:tabs>
        <w:spacing w:line="216" w:lineRule="auto"/>
        <w:ind w:right="44"/>
        <w:rPr>
          <w:rFonts w:ascii="Arial" w:hAnsi="Arial" w:cs="Arial"/>
          <w:sz w:val="18"/>
          <w:szCs w:val="18"/>
          <w:lang w:val="es-ES_tradnl"/>
        </w:rPr>
      </w:pPr>
    </w:p>
    <w:p w:rsidR="00B113E7" w:rsidRPr="00027F86" w:rsidRDefault="00B113E7" w:rsidP="00526D53">
      <w:pPr>
        <w:pStyle w:val="Textoindependiente"/>
        <w:tabs>
          <w:tab w:val="right" w:leader="hyphen" w:pos="9072"/>
        </w:tabs>
        <w:ind w:right="-283"/>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526D53">
        <w:rPr>
          <w:rFonts w:ascii="Arial" w:hAnsi="Arial" w:cs="Arial"/>
          <w:b w:val="0"/>
          <w:sz w:val="24"/>
        </w:rPr>
        <w:tab/>
      </w:r>
    </w:p>
    <w:p w:rsidR="00B113E7" w:rsidRPr="00027F86" w:rsidRDefault="00B113E7" w:rsidP="00526D53">
      <w:pPr>
        <w:tabs>
          <w:tab w:val="right" w:leader="hyphen" w:pos="9072"/>
        </w:tabs>
        <w:ind w:right="-283"/>
        <w:jc w:val="both"/>
        <w:rPr>
          <w:rFonts w:ascii="Arial" w:hAnsi="Arial" w:cs="Arial"/>
          <w:b/>
          <w:lang w:val="es-MX"/>
        </w:rPr>
      </w:pPr>
    </w:p>
    <w:p w:rsidR="00B113E7" w:rsidRPr="00027F86" w:rsidRDefault="00B113E7" w:rsidP="00526D53">
      <w:pPr>
        <w:tabs>
          <w:tab w:val="right" w:leader="hyphen" w:pos="9072"/>
        </w:tabs>
        <w:ind w:right="-283"/>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Pr>
          <w:rFonts w:ascii="Arial" w:hAnsi="Arial" w:cs="Arial"/>
          <w:lang w:val="es-MX"/>
        </w:rPr>
        <w:t xml:space="preserve"> vigilar el cumplimiento de la L</w:t>
      </w:r>
      <w:r w:rsidRPr="00027F86">
        <w:rPr>
          <w:rFonts w:ascii="Arial" w:hAnsi="Arial" w:cs="Arial"/>
          <w:lang w:val="es-MX"/>
        </w:rPr>
        <w:t xml:space="preserve">ey </w:t>
      </w:r>
      <w:r>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526D53">
        <w:rPr>
          <w:rFonts w:ascii="Arial" w:hAnsi="Arial" w:cs="Arial"/>
          <w:lang w:val="es-MX"/>
        </w:rPr>
        <w:tab/>
      </w:r>
    </w:p>
    <w:p w:rsidR="00B113E7" w:rsidRPr="00630D36" w:rsidRDefault="00B113E7" w:rsidP="00526D53">
      <w:pPr>
        <w:tabs>
          <w:tab w:val="right" w:leader="hyphen" w:pos="9072"/>
        </w:tabs>
        <w:ind w:right="44"/>
        <w:jc w:val="both"/>
        <w:rPr>
          <w:rFonts w:ascii="Arial" w:hAnsi="Arial" w:cs="Arial"/>
          <w:sz w:val="18"/>
          <w:szCs w:val="18"/>
          <w:lang w:val="es-MX"/>
        </w:rPr>
      </w:pPr>
    </w:p>
    <w:p w:rsidR="00B113E7" w:rsidRPr="00027F86" w:rsidRDefault="00B113E7" w:rsidP="00526D53">
      <w:pPr>
        <w:tabs>
          <w:tab w:val="right" w:leader="hyphen" w:pos="9072"/>
        </w:tabs>
        <w:ind w:right="-283"/>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526D53">
        <w:rPr>
          <w:rFonts w:ascii="Arial" w:hAnsi="Arial" w:cs="Arial"/>
          <w:lang w:val="es-MX"/>
        </w:rPr>
        <w:tab/>
      </w:r>
    </w:p>
    <w:p w:rsidR="00B113E7" w:rsidRPr="00630D36" w:rsidRDefault="00B113E7" w:rsidP="00526D53">
      <w:pPr>
        <w:tabs>
          <w:tab w:val="right" w:leader="hyphen" w:pos="9072"/>
        </w:tabs>
        <w:ind w:right="-283"/>
        <w:jc w:val="both"/>
        <w:rPr>
          <w:rFonts w:ascii="Arial" w:hAnsi="Arial" w:cs="Arial"/>
          <w:sz w:val="18"/>
          <w:szCs w:val="18"/>
          <w:lang w:val="es-MX"/>
        </w:rPr>
      </w:pPr>
    </w:p>
    <w:p w:rsidR="00B113E7" w:rsidRPr="00027F86" w:rsidRDefault="00B113E7" w:rsidP="00526D53">
      <w:pPr>
        <w:tabs>
          <w:tab w:val="right" w:leader="hyphen" w:pos="9072"/>
        </w:tabs>
        <w:ind w:right="-283"/>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834B50">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526D53">
        <w:rPr>
          <w:rFonts w:ascii="Arial" w:hAnsi="Arial" w:cs="Arial"/>
          <w:lang w:val="es-MX"/>
        </w:rPr>
        <w:tab/>
      </w:r>
    </w:p>
    <w:p w:rsidR="00B113E7" w:rsidRPr="00630D36" w:rsidRDefault="00B113E7" w:rsidP="00526D53">
      <w:pPr>
        <w:tabs>
          <w:tab w:val="right" w:leader="hyphen" w:pos="9072"/>
        </w:tabs>
        <w:ind w:right="-283"/>
        <w:jc w:val="both"/>
        <w:rPr>
          <w:rFonts w:ascii="Arial" w:hAnsi="Arial" w:cs="Arial"/>
          <w:b/>
          <w:sz w:val="18"/>
          <w:szCs w:val="18"/>
          <w:lang w:val="es-MX"/>
        </w:rPr>
      </w:pPr>
    </w:p>
    <w:p w:rsidR="00A0523C" w:rsidRPr="00BE0C9D" w:rsidRDefault="00B113E7" w:rsidP="00526D53">
      <w:pPr>
        <w:tabs>
          <w:tab w:val="right" w:leader="hyphen" w:pos="9072"/>
        </w:tabs>
        <w:ind w:right="-283"/>
        <w:jc w:val="both"/>
        <w:rPr>
          <w:rFonts w:ascii="Arial" w:hAnsi="Arial" w:cs="Arial"/>
        </w:rPr>
      </w:pPr>
      <w:r w:rsidRPr="00290522">
        <w:rPr>
          <w:rFonts w:ascii="Arial" w:hAnsi="Arial" w:cs="Arial"/>
          <w:b/>
          <w:lang w:val="es-MX"/>
        </w:rPr>
        <w:t xml:space="preserve">V. </w:t>
      </w:r>
      <w:r w:rsidR="00A0523C" w:rsidRPr="00290522">
        <w:rPr>
          <w:rFonts w:ascii="Arial" w:hAnsi="Arial" w:cs="Arial"/>
          <w:lang w:val="es-MX"/>
        </w:rPr>
        <w:t>E</w:t>
      </w:r>
      <w:r w:rsidR="00A0523C" w:rsidRPr="00290522">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526D53">
        <w:rPr>
          <w:rFonts w:ascii="Arial" w:hAnsi="Arial" w:cs="Arial"/>
        </w:rPr>
        <w:tab/>
      </w:r>
    </w:p>
    <w:p w:rsidR="00B113E7" w:rsidRPr="00EB60E7" w:rsidRDefault="00B113E7" w:rsidP="00526D53">
      <w:pPr>
        <w:tabs>
          <w:tab w:val="right" w:leader="hyphen" w:pos="9072"/>
        </w:tabs>
        <w:ind w:right="-283"/>
        <w:jc w:val="both"/>
        <w:rPr>
          <w:rFonts w:ascii="Arial" w:hAnsi="Arial" w:cs="Arial"/>
        </w:rPr>
      </w:pPr>
    </w:p>
    <w:p w:rsidR="00B113E7" w:rsidRPr="002A5A5C" w:rsidRDefault="00325012" w:rsidP="00526D53">
      <w:pPr>
        <w:tabs>
          <w:tab w:val="right" w:leader="hyphen" w:pos="9072"/>
        </w:tabs>
        <w:ind w:right="-283"/>
        <w:jc w:val="both"/>
        <w:rPr>
          <w:rFonts w:ascii="Arial" w:hAnsi="Arial" w:cs="Arial"/>
          <w:bCs/>
          <w:u w:val="single"/>
        </w:rPr>
      </w:pPr>
      <w:r w:rsidRPr="002A5A5C">
        <w:rPr>
          <w:rFonts w:ascii="Arial" w:hAnsi="Arial" w:cs="Arial"/>
          <w:b/>
          <w:bCs/>
        </w:rPr>
        <w:t>VI.</w:t>
      </w:r>
      <w:r w:rsidRPr="002A5A5C">
        <w:rPr>
          <w:rFonts w:ascii="Arial" w:hAnsi="Arial" w:cs="Arial"/>
          <w:bCs/>
        </w:rPr>
        <w:t xml:space="preserve"> </w:t>
      </w:r>
      <w:r w:rsidR="00B113E7" w:rsidRPr="002A5A5C">
        <w:rPr>
          <w:rFonts w:ascii="Arial" w:hAnsi="Arial" w:cs="Arial"/>
          <w:bCs/>
        </w:rPr>
        <w:t>En observancia al acuerdo de la Comisión de Organización Electoral citado en el resultando tercero de este dictamen,</w:t>
      </w:r>
      <w:r w:rsidR="00B113E7">
        <w:rPr>
          <w:rFonts w:ascii="Arial" w:hAnsi="Arial" w:cs="Arial"/>
          <w:bCs/>
        </w:rPr>
        <w:t xml:space="preserve"> no se procederá al estudio de los hechos denunciados por el quejoso y, por tanto, resulta innecesaria su transcripción, en virtud de que, en la especie se actualiza como se dijo, la causa de improcedencia prevista en la fracción IV del artículo 251, en relación con el mismo precepto Jurídico según su párrafo </w:t>
      </w:r>
      <w:r w:rsidR="00B10629">
        <w:rPr>
          <w:rFonts w:ascii="Arial" w:hAnsi="Arial" w:cs="Arial"/>
          <w:bCs/>
        </w:rPr>
        <w:t>quinto</w:t>
      </w:r>
      <w:r w:rsidR="00B113E7">
        <w:rPr>
          <w:rFonts w:ascii="Arial" w:hAnsi="Arial" w:cs="Arial"/>
          <w:bCs/>
        </w:rPr>
        <w:t xml:space="preserve"> de la Ley </w:t>
      </w:r>
      <w:r w:rsidR="002A5A5C">
        <w:rPr>
          <w:rFonts w:ascii="Arial" w:hAnsi="Arial" w:cs="Arial"/>
          <w:bCs/>
        </w:rPr>
        <w:t>de la materia</w:t>
      </w:r>
      <w:r w:rsidR="00B113E7">
        <w:rPr>
          <w:rFonts w:ascii="Arial" w:hAnsi="Arial" w:cs="Arial"/>
          <w:bCs/>
        </w:rPr>
        <w:t xml:space="preserve">, </w:t>
      </w:r>
      <w:r w:rsidR="00B113E7" w:rsidRPr="002A5A5C">
        <w:rPr>
          <w:rFonts w:ascii="Arial" w:hAnsi="Arial" w:cs="Arial"/>
          <w:bCs/>
        </w:rPr>
        <w:t xml:space="preserve">consistente en la omisión realizada por parte del Quejoso, relativo a subsanar la irregularidad </w:t>
      </w:r>
      <w:r w:rsidR="002A5A5C" w:rsidRPr="002A5A5C">
        <w:rPr>
          <w:rFonts w:ascii="Arial" w:hAnsi="Arial" w:cs="Arial"/>
          <w:bCs/>
        </w:rPr>
        <w:t xml:space="preserve">de </w:t>
      </w:r>
      <w:r w:rsidR="00B113E7" w:rsidRPr="002A5A5C">
        <w:rPr>
          <w:rFonts w:ascii="Arial" w:hAnsi="Arial" w:cs="Arial"/>
          <w:bCs/>
        </w:rPr>
        <w:t xml:space="preserve">que adolecía su escrito inicial al no incluirse las disposiciones legales que a su juicio se estimaron transgredidas con los hechos realizados por parte de los presuntos infractores y la Coalición </w:t>
      </w:r>
      <w:r w:rsidR="002A5A5C" w:rsidRPr="002A5A5C">
        <w:rPr>
          <w:rFonts w:ascii="Arial" w:hAnsi="Arial" w:cs="Arial"/>
          <w:bCs/>
        </w:rPr>
        <w:t>“</w:t>
      </w:r>
      <w:r w:rsidR="00B113E7" w:rsidRPr="002A5A5C">
        <w:rPr>
          <w:rFonts w:ascii="Arial" w:hAnsi="Arial" w:cs="Arial"/>
          <w:bCs/>
        </w:rPr>
        <w:t>Unidos Ganas Tú</w:t>
      </w:r>
      <w:r w:rsidR="002A5A5C" w:rsidRPr="002A5A5C">
        <w:rPr>
          <w:rFonts w:ascii="Arial" w:hAnsi="Arial" w:cs="Arial"/>
          <w:bCs/>
        </w:rPr>
        <w:t>”</w:t>
      </w:r>
      <w:r w:rsidR="00B113E7" w:rsidRPr="002A5A5C">
        <w:rPr>
          <w:rFonts w:ascii="Arial" w:hAnsi="Arial" w:cs="Arial"/>
          <w:bCs/>
        </w:rPr>
        <w:t xml:space="preserve">, cabe destacar que en el auto en donde se le notificó dicha irregularidad se le advirtió que de no realizar lo conducente, se actualizaría la hipótesis del párrafo </w:t>
      </w:r>
      <w:r w:rsidR="00B10629">
        <w:rPr>
          <w:rFonts w:ascii="Arial" w:hAnsi="Arial" w:cs="Arial"/>
          <w:bCs/>
        </w:rPr>
        <w:t>quinto</w:t>
      </w:r>
      <w:r w:rsidR="00B113E7" w:rsidRPr="002A5A5C">
        <w:rPr>
          <w:rFonts w:ascii="Arial" w:hAnsi="Arial" w:cs="Arial"/>
          <w:bCs/>
        </w:rPr>
        <w:t xml:space="preserve"> del Artículo 251 de la Ley Electoral vigente para el Estado de Sinaloa, por lo cual obliga a proponer el desechamiento de plano del presente procedimiento Administrativo Sancionador.</w:t>
      </w:r>
      <w:r w:rsidR="00526D53">
        <w:rPr>
          <w:rFonts w:ascii="Arial" w:hAnsi="Arial" w:cs="Arial"/>
          <w:bCs/>
        </w:rPr>
        <w:tab/>
      </w:r>
    </w:p>
    <w:p w:rsidR="00B113E7" w:rsidRDefault="00B113E7" w:rsidP="00526D53">
      <w:pPr>
        <w:tabs>
          <w:tab w:val="right" w:leader="hyphen" w:pos="9072"/>
        </w:tabs>
        <w:ind w:right="44"/>
        <w:jc w:val="both"/>
        <w:rPr>
          <w:rFonts w:ascii="Arial" w:hAnsi="Arial" w:cs="Arial"/>
          <w:bCs/>
        </w:rPr>
      </w:pPr>
    </w:p>
    <w:p w:rsidR="00B113E7"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r w:rsidRPr="009F3B45">
        <w:rPr>
          <w:rFonts w:ascii="Arial" w:hAnsi="Arial" w:cs="Arial"/>
          <w:bCs/>
        </w:rPr>
        <w:t>Al efecto, l</w:t>
      </w:r>
      <w:r>
        <w:rPr>
          <w:rFonts w:ascii="Arial" w:hAnsi="Arial" w:cs="Arial"/>
          <w:bCs/>
        </w:rPr>
        <w:t>os</w:t>
      </w:r>
      <w:r w:rsidRPr="009F3B45">
        <w:rPr>
          <w:rFonts w:ascii="Arial" w:hAnsi="Arial" w:cs="Arial"/>
          <w:bCs/>
        </w:rPr>
        <w:t xml:space="preserve"> artículo</w:t>
      </w:r>
      <w:r>
        <w:rPr>
          <w:rFonts w:ascii="Arial" w:hAnsi="Arial" w:cs="Arial"/>
          <w:bCs/>
        </w:rPr>
        <w:t>s 250 y</w:t>
      </w:r>
      <w:r w:rsidRPr="009F3B45">
        <w:rPr>
          <w:rFonts w:ascii="Arial" w:hAnsi="Arial" w:cs="Arial"/>
          <w:bCs/>
        </w:rPr>
        <w:t xml:space="preserve"> 251</w:t>
      </w:r>
      <w:r w:rsidRPr="009F3B45">
        <w:rPr>
          <w:rFonts w:ascii="Arial" w:eastAsiaTheme="minorHAnsi" w:hAnsi="Arial" w:cs="Arial"/>
          <w:lang w:val="es-MX" w:eastAsia="en-US"/>
        </w:rPr>
        <w:t xml:space="preserve"> de la mencionada Ley, dispone</w:t>
      </w:r>
      <w:r>
        <w:rPr>
          <w:rFonts w:ascii="Arial" w:eastAsiaTheme="minorHAnsi" w:hAnsi="Arial" w:cs="Arial"/>
          <w:lang w:val="es-MX" w:eastAsia="en-US"/>
        </w:rPr>
        <w:t>n</w:t>
      </w:r>
      <w:r w:rsidRPr="009F3B45">
        <w:rPr>
          <w:rFonts w:ascii="Arial" w:eastAsiaTheme="minorHAnsi" w:hAnsi="Arial" w:cs="Arial"/>
          <w:lang w:val="es-MX" w:eastAsia="en-US"/>
        </w:rPr>
        <w:t xml:space="preserve"> las reglas</w:t>
      </w:r>
      <w:r>
        <w:rPr>
          <w:rFonts w:ascii="Arial" w:eastAsiaTheme="minorHAnsi" w:hAnsi="Arial" w:cs="Arial"/>
          <w:lang w:val="es-MX" w:eastAsia="en-US"/>
        </w:rPr>
        <w:t xml:space="preserve"> </w:t>
      </w:r>
      <w:r w:rsidRPr="009F3B45">
        <w:rPr>
          <w:rFonts w:ascii="Arial" w:eastAsiaTheme="minorHAnsi" w:hAnsi="Arial" w:cs="Arial"/>
          <w:lang w:val="es-MX" w:eastAsia="en-US"/>
        </w:rPr>
        <w:t>a seguir en la substanciación de los recursos, estableciendo lo siguiente:</w:t>
      </w:r>
      <w:r w:rsidR="00526D53">
        <w:rPr>
          <w:rFonts w:ascii="Arial" w:eastAsiaTheme="minorHAnsi" w:hAnsi="Arial" w:cs="Arial"/>
          <w:lang w:val="es-MX" w:eastAsia="en-US"/>
        </w:rPr>
        <w:tab/>
      </w:r>
    </w:p>
    <w:p w:rsidR="00B113E7"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p>
    <w:p w:rsidR="00B113E7" w:rsidRPr="00137551" w:rsidRDefault="00B113E7" w:rsidP="00526D53">
      <w:pPr>
        <w:tabs>
          <w:tab w:val="right" w:leader="hyphen" w:pos="9072"/>
        </w:tabs>
        <w:autoSpaceDE w:val="0"/>
        <w:autoSpaceDN w:val="0"/>
        <w:adjustRightInd w:val="0"/>
        <w:ind w:left="851" w:right="851"/>
        <w:jc w:val="both"/>
        <w:rPr>
          <w:rFonts w:ascii="Arial" w:eastAsiaTheme="minorHAnsi" w:hAnsi="Arial" w:cs="Arial"/>
          <w:b/>
          <w:sz w:val="20"/>
          <w:szCs w:val="20"/>
          <w:lang w:val="es-MX" w:eastAsia="en-US"/>
        </w:rPr>
      </w:pPr>
      <w:r w:rsidRPr="00137551">
        <w:rPr>
          <w:rFonts w:ascii="Arial" w:eastAsiaTheme="minorHAnsi" w:hAnsi="Arial" w:cs="Arial"/>
          <w:b/>
          <w:sz w:val="20"/>
          <w:szCs w:val="20"/>
          <w:lang w:val="es-MX" w:eastAsia="en-US"/>
        </w:rPr>
        <w:t xml:space="preserve">Artículo 250. </w:t>
      </w:r>
    </w:p>
    <w:p w:rsidR="00B113E7" w:rsidRDefault="00B113E7" w:rsidP="00526D53">
      <w:pPr>
        <w:tabs>
          <w:tab w:val="right" w:leader="hyphen" w:pos="9072"/>
        </w:tabs>
        <w:autoSpaceDE w:val="0"/>
        <w:autoSpaceDN w:val="0"/>
        <w:adjustRightInd w:val="0"/>
        <w:ind w:left="851" w:right="851"/>
        <w:jc w:val="both"/>
        <w:rPr>
          <w:rFonts w:ascii="Arial" w:eastAsiaTheme="minorHAnsi" w:hAnsi="Arial" w:cs="Arial"/>
          <w:sz w:val="20"/>
          <w:szCs w:val="20"/>
          <w:lang w:val="es-MX" w:eastAsia="en-US"/>
        </w:rPr>
      </w:pPr>
      <w:r w:rsidRPr="00137551">
        <w:rPr>
          <w:rFonts w:ascii="Arial" w:eastAsiaTheme="minorHAnsi" w:hAnsi="Arial" w:cs="Arial"/>
          <w:sz w:val="20"/>
          <w:szCs w:val="20"/>
          <w:lang w:val="es-MX" w:eastAsia="en-US"/>
        </w:rPr>
        <w:t>…</w:t>
      </w:r>
    </w:p>
    <w:p w:rsidR="00B10629" w:rsidRDefault="00B10629" w:rsidP="00526D53">
      <w:pPr>
        <w:tabs>
          <w:tab w:val="right" w:leader="hyphen" w:pos="9072"/>
        </w:tabs>
        <w:autoSpaceDE w:val="0"/>
        <w:autoSpaceDN w:val="0"/>
        <w:adjustRightInd w:val="0"/>
        <w:ind w:left="851" w:right="851"/>
        <w:jc w:val="both"/>
        <w:rPr>
          <w:rFonts w:ascii="Arial" w:eastAsiaTheme="minorHAnsi" w:hAnsi="Arial" w:cs="Arial"/>
          <w:sz w:val="20"/>
          <w:szCs w:val="20"/>
          <w:lang w:val="es-MX" w:eastAsia="en-US"/>
        </w:rPr>
      </w:pPr>
    </w:p>
    <w:p w:rsidR="00B10629" w:rsidRPr="00137551" w:rsidRDefault="00B10629" w:rsidP="00526D53">
      <w:pPr>
        <w:tabs>
          <w:tab w:val="right" w:leader="hyphen" w:pos="9072"/>
        </w:tabs>
        <w:autoSpaceDE w:val="0"/>
        <w:autoSpaceDN w:val="0"/>
        <w:adjustRightInd w:val="0"/>
        <w:ind w:left="851" w:right="851"/>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Mediante la queja administrativa se denunciará la violación a la normatividad electoral local de carácter administrativo.</w:t>
      </w:r>
    </w:p>
    <w:p w:rsidR="00834B50" w:rsidRDefault="00834B50" w:rsidP="00526D53">
      <w:pPr>
        <w:tabs>
          <w:tab w:val="right" w:leader="hyphen" w:pos="9072"/>
        </w:tabs>
        <w:autoSpaceDE w:val="0"/>
        <w:autoSpaceDN w:val="0"/>
        <w:adjustRightInd w:val="0"/>
        <w:ind w:left="851" w:right="851"/>
        <w:jc w:val="both"/>
        <w:rPr>
          <w:rFonts w:ascii="Arial" w:eastAsiaTheme="minorHAnsi" w:hAnsi="Arial" w:cs="Arial"/>
          <w:sz w:val="20"/>
          <w:szCs w:val="20"/>
          <w:lang w:val="es-MX" w:eastAsia="en-US"/>
        </w:rPr>
      </w:pPr>
    </w:p>
    <w:p w:rsidR="00B113E7" w:rsidRPr="002A5A5C" w:rsidRDefault="00B113E7" w:rsidP="00526D53">
      <w:pPr>
        <w:tabs>
          <w:tab w:val="right" w:leader="hyphen" w:pos="9072"/>
        </w:tabs>
        <w:autoSpaceDE w:val="0"/>
        <w:autoSpaceDN w:val="0"/>
        <w:adjustRightInd w:val="0"/>
        <w:ind w:left="851" w:right="851"/>
        <w:jc w:val="both"/>
        <w:rPr>
          <w:rFonts w:ascii="Arial" w:eastAsiaTheme="minorHAnsi" w:hAnsi="Arial" w:cs="Arial"/>
          <w:b/>
          <w:i/>
          <w:sz w:val="20"/>
          <w:szCs w:val="20"/>
          <w:lang w:val="es-MX" w:eastAsia="en-US"/>
        </w:rPr>
      </w:pPr>
      <w:r w:rsidRPr="002A5A5C">
        <w:rPr>
          <w:rFonts w:ascii="Arial" w:eastAsiaTheme="minorHAnsi" w:hAnsi="Arial" w:cs="Arial"/>
          <w:i/>
          <w:sz w:val="20"/>
          <w:szCs w:val="20"/>
          <w:lang w:val="es-MX" w:eastAsia="en-US"/>
        </w:rPr>
        <w:t xml:space="preserve">Están legitimados para presentar la referida queja, los Partidos Políticos y los ciudadanos que resulten afectados en su esfera jurídica </w:t>
      </w:r>
      <w:r w:rsidRPr="002A5A5C">
        <w:rPr>
          <w:rFonts w:ascii="Arial" w:eastAsiaTheme="minorHAnsi" w:hAnsi="Arial" w:cs="Arial"/>
          <w:b/>
          <w:i/>
          <w:sz w:val="20"/>
          <w:szCs w:val="20"/>
          <w:lang w:val="es-MX" w:eastAsia="en-US"/>
        </w:rPr>
        <w:t>por la violación a la normatividad que da motivo a aquella.</w:t>
      </w:r>
    </w:p>
    <w:p w:rsidR="00B113E7" w:rsidRPr="002A5A5C" w:rsidRDefault="00B113E7" w:rsidP="00526D53">
      <w:pPr>
        <w:tabs>
          <w:tab w:val="right" w:leader="hyphen" w:pos="9072"/>
        </w:tabs>
        <w:autoSpaceDE w:val="0"/>
        <w:autoSpaceDN w:val="0"/>
        <w:adjustRightInd w:val="0"/>
        <w:ind w:left="851" w:right="851"/>
        <w:jc w:val="both"/>
        <w:rPr>
          <w:rFonts w:ascii="Arial" w:eastAsiaTheme="minorHAnsi" w:hAnsi="Arial" w:cs="Arial"/>
          <w:sz w:val="20"/>
          <w:szCs w:val="20"/>
          <w:lang w:val="es-MX" w:eastAsia="en-US"/>
        </w:rPr>
      </w:pPr>
    </w:p>
    <w:p w:rsidR="00B113E7" w:rsidRPr="002A5A5C" w:rsidRDefault="00B113E7" w:rsidP="00526D53">
      <w:pPr>
        <w:tabs>
          <w:tab w:val="right" w:leader="hyphen" w:pos="9072"/>
        </w:tabs>
        <w:autoSpaceDE w:val="0"/>
        <w:autoSpaceDN w:val="0"/>
        <w:adjustRightInd w:val="0"/>
        <w:ind w:left="851" w:right="851"/>
        <w:jc w:val="both"/>
        <w:rPr>
          <w:rFonts w:ascii="Arial" w:eastAsiaTheme="minorHAnsi" w:hAnsi="Arial" w:cs="Arial"/>
          <w:sz w:val="20"/>
          <w:szCs w:val="20"/>
          <w:lang w:val="es-MX" w:eastAsia="en-US"/>
        </w:rPr>
      </w:pPr>
      <w:r w:rsidRPr="002A5A5C">
        <w:rPr>
          <w:rFonts w:ascii="Arial" w:eastAsiaTheme="minorHAnsi" w:hAnsi="Arial" w:cs="Arial"/>
          <w:b/>
          <w:sz w:val="20"/>
          <w:szCs w:val="20"/>
          <w:lang w:val="es-MX" w:eastAsia="en-US"/>
        </w:rPr>
        <w:t xml:space="preserve">Artículo 251. </w:t>
      </w:r>
      <w:r w:rsidRPr="002A5A5C">
        <w:rPr>
          <w:rFonts w:ascii="Arial" w:eastAsiaTheme="minorHAnsi" w:hAnsi="Arial" w:cs="Arial"/>
          <w:i/>
          <w:sz w:val="20"/>
          <w:szCs w:val="20"/>
          <w:lang w:val="es-MX" w:eastAsia="en-US"/>
        </w:rPr>
        <w:t>Para efectos de aplicar las sanciones a que se refiere este Capítulo, se observará el procedimiento siguiente:</w:t>
      </w:r>
    </w:p>
    <w:p w:rsidR="00B113E7" w:rsidRPr="002A5A5C" w:rsidRDefault="00B113E7" w:rsidP="00526D53">
      <w:pPr>
        <w:tabs>
          <w:tab w:val="right" w:leader="hyphen" w:pos="9072"/>
        </w:tabs>
        <w:autoSpaceDE w:val="0"/>
        <w:autoSpaceDN w:val="0"/>
        <w:adjustRightInd w:val="0"/>
        <w:ind w:left="851" w:right="851"/>
        <w:jc w:val="both"/>
        <w:rPr>
          <w:rFonts w:ascii="Arial" w:eastAsiaTheme="minorHAnsi" w:hAnsi="Arial" w:cs="Arial"/>
          <w:sz w:val="20"/>
          <w:szCs w:val="20"/>
          <w:lang w:val="es-MX" w:eastAsia="en-US"/>
        </w:rPr>
      </w:pPr>
    </w:p>
    <w:p w:rsidR="00B113E7" w:rsidRPr="002A5A5C" w:rsidRDefault="00B113E7" w:rsidP="00526D53">
      <w:pPr>
        <w:tabs>
          <w:tab w:val="right" w:leader="hyphen" w:pos="9072"/>
        </w:tabs>
        <w:autoSpaceDE w:val="0"/>
        <w:autoSpaceDN w:val="0"/>
        <w:adjustRightInd w:val="0"/>
        <w:ind w:left="851" w:right="851"/>
        <w:jc w:val="both"/>
        <w:rPr>
          <w:rFonts w:ascii="Arial" w:eastAsiaTheme="minorHAnsi" w:hAnsi="Arial" w:cs="Arial"/>
          <w:i/>
          <w:sz w:val="20"/>
          <w:szCs w:val="20"/>
          <w:lang w:val="es-MX" w:eastAsia="en-US"/>
        </w:rPr>
      </w:pPr>
      <w:r w:rsidRPr="002A5A5C">
        <w:rPr>
          <w:rFonts w:ascii="Arial" w:eastAsiaTheme="minorHAnsi" w:hAnsi="Arial" w:cs="Arial"/>
          <w:i/>
          <w:sz w:val="20"/>
          <w:szCs w:val="20"/>
          <w:lang w:val="es-MX" w:eastAsia="en-US"/>
        </w:rPr>
        <w:t>La Queja deberá presentarse por escrito ante el Consejo Estatal Electoral la cual contendrá:</w:t>
      </w:r>
    </w:p>
    <w:p w:rsidR="00B113E7" w:rsidRPr="002A5A5C" w:rsidRDefault="00B113E7" w:rsidP="00526D53">
      <w:pPr>
        <w:tabs>
          <w:tab w:val="right" w:leader="hyphen" w:pos="9072"/>
        </w:tabs>
        <w:autoSpaceDE w:val="0"/>
        <w:autoSpaceDN w:val="0"/>
        <w:adjustRightInd w:val="0"/>
        <w:ind w:left="851" w:right="851"/>
        <w:jc w:val="both"/>
        <w:rPr>
          <w:rFonts w:ascii="Arial" w:eastAsiaTheme="minorHAnsi" w:hAnsi="Arial" w:cs="Arial"/>
          <w:i/>
          <w:sz w:val="20"/>
          <w:szCs w:val="20"/>
          <w:lang w:val="es-MX" w:eastAsia="en-US"/>
        </w:rPr>
      </w:pPr>
    </w:p>
    <w:p w:rsidR="00B113E7" w:rsidRPr="002A5A5C" w:rsidRDefault="00B113E7" w:rsidP="00526D53">
      <w:pPr>
        <w:pStyle w:val="Prrafodelista"/>
        <w:numPr>
          <w:ilvl w:val="0"/>
          <w:numId w:val="32"/>
        </w:numPr>
        <w:tabs>
          <w:tab w:val="right" w:leader="hyphen" w:pos="9072"/>
        </w:tabs>
        <w:autoSpaceDE w:val="0"/>
        <w:autoSpaceDN w:val="0"/>
        <w:adjustRightInd w:val="0"/>
        <w:ind w:right="851"/>
        <w:jc w:val="both"/>
        <w:rPr>
          <w:rFonts w:ascii="Arial" w:eastAsiaTheme="minorHAnsi" w:hAnsi="Arial" w:cs="Arial"/>
          <w:i/>
          <w:sz w:val="20"/>
          <w:szCs w:val="20"/>
          <w:lang w:val="es-MX"/>
        </w:rPr>
      </w:pPr>
      <w:r w:rsidRPr="002A5A5C">
        <w:rPr>
          <w:rFonts w:ascii="Arial" w:eastAsiaTheme="minorHAnsi" w:hAnsi="Arial" w:cs="Arial"/>
          <w:i/>
          <w:sz w:val="20"/>
          <w:szCs w:val="20"/>
          <w:lang w:val="es-MX"/>
        </w:rPr>
        <w:t xml:space="preserve">Las disposiciones legales que a su juicio se hubieran infringido; y, </w:t>
      </w:r>
    </w:p>
    <w:p w:rsidR="002A5A5C" w:rsidRPr="002A5A5C" w:rsidRDefault="002A5A5C" w:rsidP="00526D53">
      <w:pPr>
        <w:pStyle w:val="Prrafodelista"/>
        <w:tabs>
          <w:tab w:val="right" w:leader="hyphen" w:pos="9072"/>
        </w:tabs>
        <w:autoSpaceDE w:val="0"/>
        <w:autoSpaceDN w:val="0"/>
        <w:adjustRightInd w:val="0"/>
        <w:ind w:left="1571" w:right="851"/>
        <w:jc w:val="both"/>
        <w:rPr>
          <w:rFonts w:ascii="Arial" w:eastAsiaTheme="minorHAnsi" w:hAnsi="Arial" w:cs="Arial"/>
          <w:i/>
          <w:sz w:val="20"/>
          <w:szCs w:val="20"/>
          <w:lang w:val="es-MX"/>
        </w:rPr>
      </w:pPr>
    </w:p>
    <w:p w:rsidR="002A5A5C" w:rsidRPr="002A5A5C" w:rsidRDefault="002A5A5C" w:rsidP="00526D53">
      <w:pPr>
        <w:pStyle w:val="Prrafodelista"/>
        <w:tabs>
          <w:tab w:val="right" w:leader="hyphen" w:pos="9072"/>
        </w:tabs>
        <w:autoSpaceDE w:val="0"/>
        <w:autoSpaceDN w:val="0"/>
        <w:adjustRightInd w:val="0"/>
        <w:ind w:left="851" w:right="851"/>
        <w:jc w:val="both"/>
        <w:rPr>
          <w:rFonts w:ascii="Arial" w:eastAsiaTheme="minorHAnsi" w:hAnsi="Arial" w:cs="Arial"/>
          <w:i/>
          <w:sz w:val="20"/>
          <w:szCs w:val="20"/>
          <w:lang w:val="es-MX"/>
        </w:rPr>
      </w:pPr>
      <w:r w:rsidRPr="002A5A5C">
        <w:rPr>
          <w:rFonts w:ascii="Arial" w:eastAsiaTheme="minorHAnsi" w:hAnsi="Arial" w:cs="Arial"/>
          <w:i/>
          <w:sz w:val="20"/>
          <w:szCs w:val="20"/>
          <w:lang w:val="es-MX"/>
        </w:rPr>
        <w:t>…</w:t>
      </w:r>
    </w:p>
    <w:p w:rsidR="00B113E7" w:rsidRPr="005F1065" w:rsidRDefault="00B113E7" w:rsidP="00526D53">
      <w:pPr>
        <w:tabs>
          <w:tab w:val="right" w:leader="hyphen" w:pos="9072"/>
        </w:tabs>
        <w:autoSpaceDE w:val="0"/>
        <w:autoSpaceDN w:val="0"/>
        <w:adjustRightInd w:val="0"/>
        <w:ind w:left="851" w:right="851"/>
        <w:jc w:val="both"/>
        <w:rPr>
          <w:rFonts w:ascii="Arial" w:eastAsiaTheme="minorHAnsi" w:hAnsi="Arial" w:cs="Arial"/>
          <w:i/>
          <w:sz w:val="20"/>
          <w:szCs w:val="20"/>
          <w:lang w:val="es-MX"/>
        </w:rPr>
      </w:pPr>
      <w:r w:rsidRPr="002A5A5C">
        <w:rPr>
          <w:rFonts w:ascii="Arial" w:eastAsiaTheme="minorHAnsi" w:hAnsi="Arial" w:cs="Arial"/>
          <w:i/>
          <w:sz w:val="20"/>
          <w:szCs w:val="20"/>
          <w:lang w:val="es-MX"/>
        </w:rPr>
        <w:t>Si no contiene los requisitos indicados en las fracciones III), IV), y V) se prevendrá al Quejoso para que subsane dentro del término improrrogable de tres días, apercibiéndole de que si no lo hace se le desechará de plano.</w:t>
      </w:r>
      <w:r>
        <w:rPr>
          <w:rFonts w:ascii="Arial" w:eastAsiaTheme="minorHAnsi" w:hAnsi="Arial" w:cs="Arial"/>
          <w:i/>
          <w:sz w:val="20"/>
          <w:szCs w:val="20"/>
          <w:lang w:val="es-MX"/>
        </w:rPr>
        <w:t xml:space="preserve"> </w:t>
      </w:r>
    </w:p>
    <w:p w:rsidR="00B113E7" w:rsidRPr="002439F8" w:rsidRDefault="00B113E7" w:rsidP="00526D53">
      <w:pPr>
        <w:tabs>
          <w:tab w:val="right" w:leader="hyphen" w:pos="9072"/>
        </w:tabs>
        <w:autoSpaceDE w:val="0"/>
        <w:autoSpaceDN w:val="0"/>
        <w:adjustRightInd w:val="0"/>
        <w:ind w:right="851"/>
        <w:jc w:val="both"/>
        <w:rPr>
          <w:rFonts w:ascii="Arial" w:eastAsiaTheme="minorHAnsi" w:hAnsi="Arial" w:cs="Arial"/>
          <w:i/>
          <w:sz w:val="20"/>
          <w:szCs w:val="20"/>
          <w:lang w:val="es-MX"/>
        </w:rPr>
      </w:pPr>
    </w:p>
    <w:p w:rsidR="00B113E7"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r w:rsidRPr="0000568E">
        <w:rPr>
          <w:rFonts w:ascii="Arial" w:eastAsiaTheme="minorHAnsi" w:hAnsi="Arial" w:cs="Arial"/>
          <w:lang w:val="es-MX" w:eastAsia="en-US"/>
        </w:rPr>
        <w:t xml:space="preserve">En el caso, no obstante se encuentra colmado el acto propulsor de la actividad del órgano </w:t>
      </w:r>
      <w:r w:rsidR="006812F9">
        <w:rPr>
          <w:rFonts w:ascii="Arial" w:eastAsiaTheme="minorHAnsi" w:hAnsi="Arial" w:cs="Arial"/>
          <w:lang w:val="es-MX" w:eastAsia="en-US"/>
        </w:rPr>
        <w:t>administrativo</w:t>
      </w:r>
      <w:r>
        <w:rPr>
          <w:rFonts w:ascii="Arial" w:eastAsiaTheme="minorHAnsi" w:hAnsi="Arial" w:cs="Arial"/>
          <w:lang w:val="es-MX" w:eastAsia="en-US"/>
        </w:rPr>
        <w:t xml:space="preserve"> </w:t>
      </w:r>
      <w:r w:rsidR="006812F9">
        <w:rPr>
          <w:rFonts w:ascii="Arial" w:eastAsiaTheme="minorHAnsi" w:hAnsi="Arial" w:cs="Arial"/>
          <w:lang w:val="es-MX" w:eastAsia="en-US"/>
        </w:rPr>
        <w:t xml:space="preserve">consistente en sí, en </w:t>
      </w:r>
      <w:r w:rsidRPr="0000568E">
        <w:rPr>
          <w:rFonts w:ascii="Arial" w:eastAsiaTheme="minorHAnsi" w:hAnsi="Arial" w:cs="Arial"/>
          <w:lang w:val="es-MX" w:eastAsia="en-US"/>
        </w:rPr>
        <w:t>la presentación de la</w:t>
      </w:r>
      <w:r>
        <w:rPr>
          <w:rFonts w:ascii="Arial" w:eastAsiaTheme="minorHAnsi" w:hAnsi="Arial" w:cs="Arial"/>
          <w:lang w:val="es-MX" w:eastAsia="en-US"/>
        </w:rPr>
        <w:t xml:space="preserve"> demanda</w:t>
      </w:r>
      <w:r w:rsidRPr="0000568E">
        <w:rPr>
          <w:rFonts w:ascii="Arial" w:eastAsiaTheme="minorHAnsi" w:hAnsi="Arial" w:cs="Arial"/>
          <w:lang w:val="es-MX" w:eastAsia="en-US"/>
        </w:rPr>
        <w:t>,</w:t>
      </w:r>
      <w:r>
        <w:rPr>
          <w:rFonts w:ascii="Arial" w:eastAsiaTheme="minorHAnsi" w:hAnsi="Arial" w:cs="Arial"/>
          <w:lang w:val="es-MX" w:eastAsia="en-US"/>
        </w:rPr>
        <w:t xml:space="preserve"> sin embargo,</w:t>
      </w:r>
      <w:r w:rsidRPr="0000568E">
        <w:rPr>
          <w:rFonts w:ascii="Arial" w:eastAsiaTheme="minorHAnsi" w:hAnsi="Arial" w:cs="Arial"/>
          <w:lang w:val="es-MX" w:eastAsia="en-US"/>
        </w:rPr>
        <w:t xml:space="preserve"> esta no sólo necesita ser interpuesta por quien tenga personería o legitima</w:t>
      </w:r>
      <w:r w:rsidR="002A5A5C">
        <w:rPr>
          <w:rFonts w:ascii="Arial" w:eastAsiaTheme="minorHAnsi" w:hAnsi="Arial" w:cs="Arial"/>
          <w:lang w:val="es-MX" w:eastAsia="en-US"/>
        </w:rPr>
        <w:t xml:space="preserve">ción, sino que requiere además </w:t>
      </w:r>
      <w:r>
        <w:rPr>
          <w:rFonts w:ascii="Arial" w:eastAsiaTheme="minorHAnsi" w:hAnsi="Arial" w:cs="Arial"/>
          <w:lang w:val="es-MX" w:eastAsia="en-US"/>
        </w:rPr>
        <w:t xml:space="preserve">colmar los requisitos establecidos en el Artículo 251 de la Ley Electoral, así como cada una de sus fracciones, puesto que la omisión de alguna de ellas podría decretar el </w:t>
      </w:r>
      <w:r w:rsidRPr="002A5A5C">
        <w:rPr>
          <w:rFonts w:ascii="Arial" w:eastAsiaTheme="minorHAnsi" w:hAnsi="Arial" w:cs="Arial"/>
          <w:lang w:val="es-MX" w:eastAsia="en-US"/>
        </w:rPr>
        <w:t>desechamiento de plano</w:t>
      </w:r>
      <w:r>
        <w:rPr>
          <w:rFonts w:ascii="Arial" w:eastAsiaTheme="minorHAnsi" w:hAnsi="Arial" w:cs="Arial"/>
          <w:lang w:val="es-MX" w:eastAsia="en-US"/>
        </w:rPr>
        <w:t xml:space="preserve"> del escrito que motivó la Queja Administrativa, al cual, precisamente, se refieren sus más trascendentes efectos procesales.</w:t>
      </w:r>
      <w:r w:rsidR="00526D53">
        <w:rPr>
          <w:rFonts w:ascii="Arial" w:eastAsiaTheme="minorHAnsi" w:hAnsi="Arial" w:cs="Arial"/>
          <w:lang w:val="es-MX" w:eastAsia="en-US"/>
        </w:rPr>
        <w:tab/>
      </w:r>
    </w:p>
    <w:p w:rsidR="00B113E7" w:rsidRPr="00ED779E"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p>
    <w:p w:rsidR="00B113E7"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r w:rsidRPr="004E1397">
        <w:rPr>
          <w:rFonts w:ascii="Arial" w:eastAsiaTheme="minorHAnsi" w:hAnsi="Arial" w:cs="Arial"/>
          <w:lang w:val="es-MX" w:eastAsia="en-US"/>
        </w:rPr>
        <w:t>E</w:t>
      </w:r>
      <w:r w:rsidR="002A5A5C">
        <w:rPr>
          <w:rFonts w:ascii="Arial" w:eastAsiaTheme="minorHAnsi" w:hAnsi="Arial" w:cs="Arial"/>
          <w:lang w:val="es-MX" w:eastAsia="en-US"/>
        </w:rPr>
        <w:t xml:space="preserve">n este tenor, </w:t>
      </w:r>
      <w:r>
        <w:rPr>
          <w:rFonts w:ascii="Arial" w:eastAsiaTheme="minorHAnsi" w:hAnsi="Arial" w:cs="Arial"/>
          <w:lang w:val="es-MX" w:eastAsia="en-US"/>
        </w:rPr>
        <w:t xml:space="preserve">la </w:t>
      </w:r>
      <w:r w:rsidR="00F54867">
        <w:rPr>
          <w:rFonts w:ascii="Arial" w:eastAsiaTheme="minorHAnsi" w:hAnsi="Arial" w:cs="Arial"/>
          <w:lang w:val="es-MX" w:eastAsia="en-US"/>
        </w:rPr>
        <w:t>inclusión</w:t>
      </w:r>
      <w:r>
        <w:rPr>
          <w:rFonts w:ascii="Arial" w:eastAsiaTheme="minorHAnsi" w:hAnsi="Arial" w:cs="Arial"/>
          <w:lang w:val="es-MX" w:eastAsia="en-US"/>
        </w:rPr>
        <w:t xml:space="preserve"> de las disposiciones que se estimaron violatorias de la norma,</w:t>
      </w:r>
      <w:r w:rsidRPr="004E1397">
        <w:rPr>
          <w:rFonts w:ascii="Arial" w:eastAsiaTheme="minorHAnsi" w:hAnsi="Arial" w:cs="Arial"/>
          <w:lang w:val="es-MX" w:eastAsia="en-US"/>
        </w:rPr>
        <w:t xml:space="preserve"> reviste una importancia fundamental, porque repercute en el nacimiento de la relación procesal, en su desenvolvimiento, o en la posible extinción del procedimiento, es decir, se relaciona</w:t>
      </w:r>
      <w:r>
        <w:rPr>
          <w:rFonts w:ascii="Arial" w:eastAsiaTheme="minorHAnsi" w:hAnsi="Arial" w:cs="Arial"/>
          <w:lang w:val="es-MX" w:eastAsia="en-US"/>
        </w:rPr>
        <w:t xml:space="preserve"> con las facultades de esta autoridad para decretar</w:t>
      </w:r>
      <w:r w:rsidRPr="004E1397">
        <w:rPr>
          <w:rFonts w:ascii="Arial" w:eastAsiaTheme="minorHAnsi" w:hAnsi="Arial" w:cs="Arial"/>
          <w:lang w:val="es-MX" w:eastAsia="en-US"/>
        </w:rPr>
        <w:t xml:space="preserve"> </w:t>
      </w:r>
      <w:r>
        <w:rPr>
          <w:rFonts w:ascii="Arial" w:eastAsiaTheme="minorHAnsi" w:hAnsi="Arial" w:cs="Arial"/>
          <w:lang w:val="es-MX" w:eastAsia="en-US"/>
        </w:rPr>
        <w:t xml:space="preserve">la admisión </w:t>
      </w:r>
      <w:r w:rsidRPr="004E1397">
        <w:rPr>
          <w:rFonts w:ascii="Arial" w:eastAsiaTheme="minorHAnsi" w:hAnsi="Arial" w:cs="Arial"/>
          <w:lang w:val="es-MX" w:eastAsia="en-US"/>
        </w:rPr>
        <w:t>a un medio impugnativo e iniciar el procedimiento, o bien, para rechazar aquél, e inclusive, una vez aceptado, suspender su curso y hacer cesar sus efectos</w:t>
      </w:r>
      <w:r>
        <w:rPr>
          <w:rFonts w:ascii="Arial" w:eastAsiaTheme="minorHAnsi" w:hAnsi="Arial" w:cs="Arial"/>
          <w:lang w:val="es-MX" w:eastAsia="en-US"/>
        </w:rPr>
        <w:t xml:space="preserve"> jurídicos </w:t>
      </w:r>
      <w:r w:rsidRPr="004E1397">
        <w:rPr>
          <w:rFonts w:ascii="Arial" w:eastAsiaTheme="minorHAnsi" w:hAnsi="Arial" w:cs="Arial"/>
          <w:lang w:val="es-MX" w:eastAsia="en-US"/>
        </w:rPr>
        <w:t>de una manera definitiva, extinguiendo la jurisdicción.</w:t>
      </w:r>
      <w:r w:rsidR="00526D53">
        <w:rPr>
          <w:rFonts w:ascii="Arial" w:eastAsiaTheme="minorHAnsi" w:hAnsi="Arial" w:cs="Arial"/>
          <w:lang w:val="es-MX" w:eastAsia="en-US"/>
        </w:rPr>
        <w:tab/>
      </w:r>
    </w:p>
    <w:p w:rsidR="00B113E7"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p>
    <w:p w:rsidR="00B113E7"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r w:rsidRPr="004E1397">
        <w:rPr>
          <w:rFonts w:ascii="Arial" w:eastAsiaTheme="minorHAnsi" w:hAnsi="Arial" w:cs="Arial"/>
          <w:lang w:val="es-MX" w:eastAsia="en-US"/>
        </w:rPr>
        <w:t xml:space="preserve">En esta dirección, el legislador ordinario decidió permitir a las autoridades encargadas de resolver los medios de defensa previstos en la Ley </w:t>
      </w:r>
      <w:r>
        <w:rPr>
          <w:rFonts w:ascii="Arial" w:eastAsiaTheme="minorHAnsi" w:hAnsi="Arial" w:cs="Arial"/>
          <w:lang w:val="es-MX" w:eastAsia="en-US"/>
        </w:rPr>
        <w:t xml:space="preserve">Electoral del Estado, </w:t>
      </w:r>
      <w:r w:rsidRPr="004E1397">
        <w:rPr>
          <w:rFonts w:ascii="Arial" w:eastAsiaTheme="minorHAnsi" w:hAnsi="Arial" w:cs="Arial"/>
          <w:lang w:val="es-MX" w:eastAsia="en-US"/>
        </w:rPr>
        <w:t>la posibilidad de rechazarlos de plano, cuando éstos devengan improcedentes, por surtirse alguna o algunas de las hipótesis previstas en la norma, en tanto que, tramitarlos y sustanciarlos a</w:t>
      </w:r>
      <w:r>
        <w:rPr>
          <w:rFonts w:ascii="Arial" w:eastAsiaTheme="minorHAnsi" w:hAnsi="Arial" w:cs="Arial"/>
          <w:lang w:val="es-MX" w:eastAsia="en-US"/>
        </w:rPr>
        <w:t xml:space="preserve"> </w:t>
      </w:r>
      <w:r w:rsidRPr="004E1397">
        <w:rPr>
          <w:rFonts w:ascii="Arial" w:eastAsiaTheme="minorHAnsi" w:hAnsi="Arial" w:cs="Arial"/>
          <w:lang w:val="es-MX" w:eastAsia="en-US"/>
        </w:rPr>
        <w:t>pesar de su notoria improcedencia, provocaría trámites inútiles que</w:t>
      </w:r>
      <w:r>
        <w:rPr>
          <w:rFonts w:ascii="Arial" w:eastAsiaTheme="minorHAnsi" w:hAnsi="Arial" w:cs="Arial"/>
          <w:lang w:val="es-MX" w:eastAsia="en-US"/>
        </w:rPr>
        <w:t xml:space="preserve"> </w:t>
      </w:r>
      <w:r w:rsidRPr="004E1397">
        <w:rPr>
          <w:rFonts w:ascii="Arial" w:eastAsiaTheme="minorHAnsi" w:hAnsi="Arial" w:cs="Arial"/>
          <w:lang w:val="es-MX" w:eastAsia="en-US"/>
        </w:rPr>
        <w:t>culminarían en una resolución estéril, contrariando el principio de</w:t>
      </w:r>
      <w:r>
        <w:rPr>
          <w:rFonts w:ascii="Arial" w:eastAsiaTheme="minorHAnsi" w:hAnsi="Arial" w:cs="Arial"/>
          <w:lang w:val="es-MX" w:eastAsia="en-US"/>
        </w:rPr>
        <w:t xml:space="preserve"> </w:t>
      </w:r>
      <w:r w:rsidRPr="004E1397">
        <w:rPr>
          <w:rFonts w:ascii="Arial" w:eastAsiaTheme="minorHAnsi" w:hAnsi="Arial" w:cs="Arial"/>
          <w:lang w:val="es-MX" w:eastAsia="en-US"/>
        </w:rPr>
        <w:t>economía procesal.</w:t>
      </w:r>
      <w:r w:rsidR="00526D53">
        <w:rPr>
          <w:rFonts w:ascii="Arial" w:eastAsiaTheme="minorHAnsi" w:hAnsi="Arial" w:cs="Arial"/>
          <w:lang w:val="es-MX" w:eastAsia="en-US"/>
        </w:rPr>
        <w:tab/>
      </w:r>
    </w:p>
    <w:p w:rsidR="00B113E7" w:rsidRDefault="00B113E7" w:rsidP="00526D53">
      <w:pPr>
        <w:tabs>
          <w:tab w:val="right" w:leader="hyphen" w:pos="9072"/>
        </w:tabs>
        <w:autoSpaceDE w:val="0"/>
        <w:autoSpaceDN w:val="0"/>
        <w:adjustRightInd w:val="0"/>
        <w:jc w:val="both"/>
        <w:rPr>
          <w:rFonts w:ascii="Arial" w:eastAsiaTheme="minorHAnsi" w:hAnsi="Arial" w:cs="Arial"/>
          <w:lang w:val="es-MX" w:eastAsia="en-US"/>
        </w:rPr>
      </w:pPr>
    </w:p>
    <w:p w:rsidR="00B113E7"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r w:rsidRPr="00DA1EBC">
        <w:rPr>
          <w:rFonts w:ascii="Arial" w:eastAsiaTheme="minorHAnsi" w:hAnsi="Arial" w:cs="Arial"/>
          <w:lang w:val="es-MX" w:eastAsia="en-US"/>
        </w:rPr>
        <w:t xml:space="preserve">De las disposiciones </w:t>
      </w:r>
      <w:r>
        <w:rPr>
          <w:rFonts w:ascii="Arial" w:eastAsiaTheme="minorHAnsi" w:hAnsi="Arial" w:cs="Arial"/>
          <w:lang w:val="es-MX" w:eastAsia="en-US"/>
        </w:rPr>
        <w:t>an</w:t>
      </w:r>
      <w:r w:rsidRPr="00DA1EBC">
        <w:rPr>
          <w:rFonts w:ascii="Arial" w:eastAsiaTheme="minorHAnsi" w:hAnsi="Arial" w:cs="Arial"/>
          <w:lang w:val="es-MX" w:eastAsia="en-US"/>
        </w:rPr>
        <w:t>t</w:t>
      </w:r>
      <w:r>
        <w:rPr>
          <w:rFonts w:ascii="Arial" w:eastAsiaTheme="minorHAnsi" w:hAnsi="Arial" w:cs="Arial"/>
          <w:lang w:val="es-MX" w:eastAsia="en-US"/>
        </w:rPr>
        <w:t>es detalladas</w:t>
      </w:r>
      <w:r w:rsidRPr="00DA1EBC">
        <w:rPr>
          <w:rFonts w:ascii="Arial" w:eastAsiaTheme="minorHAnsi" w:hAnsi="Arial" w:cs="Arial"/>
          <w:lang w:val="es-MX" w:eastAsia="en-US"/>
        </w:rPr>
        <w:t>, se desprende que,</w:t>
      </w:r>
      <w:r>
        <w:rPr>
          <w:rFonts w:ascii="Arial" w:eastAsiaTheme="minorHAnsi" w:hAnsi="Arial" w:cs="Arial"/>
          <w:lang w:val="es-MX" w:eastAsia="en-US"/>
        </w:rPr>
        <w:t xml:space="preserve"> para que el Juicio tenga existencia y validez formal, previo al estudio del fondo de la controversia planteada, es menester que se satisfagan ciertas condiciones que la propia Ley Electoral ha determinado como presupuestos o requisitos de procedibilidad y que pueden referirse a los sujetos de la relación procesal, al objeto de la controversia o a los requisitos formales que deben de contener los escritos de </w:t>
      </w:r>
      <w:r w:rsidR="00F54867">
        <w:rPr>
          <w:rFonts w:ascii="Arial" w:eastAsiaTheme="minorHAnsi" w:hAnsi="Arial" w:cs="Arial"/>
          <w:lang w:val="es-MX" w:eastAsia="en-US"/>
        </w:rPr>
        <w:t>queja</w:t>
      </w:r>
      <w:r>
        <w:rPr>
          <w:rFonts w:ascii="Arial" w:eastAsiaTheme="minorHAnsi" w:hAnsi="Arial" w:cs="Arial"/>
          <w:lang w:val="es-MX" w:eastAsia="en-US"/>
        </w:rPr>
        <w:t xml:space="preserve">, y que a falta de alguno de ellos, no es posible admitir la misma e iniciar el </w:t>
      </w:r>
      <w:r w:rsidR="00F54867">
        <w:rPr>
          <w:rFonts w:ascii="Arial" w:eastAsiaTheme="minorHAnsi" w:hAnsi="Arial" w:cs="Arial"/>
          <w:lang w:val="es-MX" w:eastAsia="en-US"/>
        </w:rPr>
        <w:t>procedimiento</w:t>
      </w:r>
      <w:r>
        <w:rPr>
          <w:rFonts w:ascii="Arial" w:eastAsiaTheme="minorHAnsi" w:hAnsi="Arial" w:cs="Arial"/>
          <w:lang w:val="es-MX" w:eastAsia="en-US"/>
        </w:rPr>
        <w:t>.</w:t>
      </w:r>
      <w:r w:rsidR="00526D53">
        <w:rPr>
          <w:rFonts w:ascii="Arial" w:eastAsiaTheme="minorHAnsi" w:hAnsi="Arial" w:cs="Arial"/>
          <w:lang w:val="es-MX" w:eastAsia="en-US"/>
        </w:rPr>
        <w:tab/>
      </w:r>
    </w:p>
    <w:p w:rsidR="00F54867" w:rsidRDefault="00F54867" w:rsidP="00526D53">
      <w:pPr>
        <w:tabs>
          <w:tab w:val="right" w:leader="hyphen" w:pos="9072"/>
        </w:tabs>
        <w:autoSpaceDE w:val="0"/>
        <w:autoSpaceDN w:val="0"/>
        <w:adjustRightInd w:val="0"/>
        <w:ind w:right="-283"/>
        <w:jc w:val="both"/>
        <w:rPr>
          <w:rFonts w:ascii="Arial" w:eastAsiaTheme="minorHAnsi" w:hAnsi="Arial" w:cs="Arial"/>
          <w:lang w:val="es-MX" w:eastAsia="en-US"/>
        </w:rPr>
      </w:pPr>
    </w:p>
    <w:p w:rsidR="00841C62"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r w:rsidRPr="004A6D18">
        <w:rPr>
          <w:rFonts w:ascii="Arial" w:eastAsiaTheme="minorHAnsi" w:hAnsi="Arial" w:cs="Arial"/>
          <w:lang w:val="es-MX" w:eastAsia="en-US"/>
        </w:rPr>
        <w:t xml:space="preserve">En el caso que nos ocupa, </w:t>
      </w:r>
      <w:r w:rsidR="009566AF" w:rsidRPr="004A6D18">
        <w:rPr>
          <w:rFonts w:ascii="Arial" w:eastAsiaTheme="minorHAnsi" w:hAnsi="Arial" w:cs="Arial"/>
          <w:lang w:val="es-MX" w:eastAsia="en-US"/>
        </w:rPr>
        <w:t>al haber</w:t>
      </w:r>
      <w:r w:rsidR="00841C62" w:rsidRPr="004A6D18">
        <w:rPr>
          <w:rFonts w:ascii="Arial" w:eastAsiaTheme="minorHAnsi" w:hAnsi="Arial" w:cs="Arial"/>
          <w:lang w:val="es-MX" w:eastAsia="en-US"/>
        </w:rPr>
        <w:t>se</w:t>
      </w:r>
      <w:r w:rsidR="009566AF" w:rsidRPr="004A6D18">
        <w:rPr>
          <w:rFonts w:ascii="Arial" w:eastAsiaTheme="minorHAnsi" w:hAnsi="Arial" w:cs="Arial"/>
          <w:lang w:val="es-MX" w:eastAsia="en-US"/>
        </w:rPr>
        <w:t xml:space="preserve"> prevenid</w:t>
      </w:r>
      <w:r w:rsidR="00841C62" w:rsidRPr="004A6D18">
        <w:rPr>
          <w:rFonts w:ascii="Arial" w:eastAsiaTheme="minorHAnsi" w:hAnsi="Arial" w:cs="Arial"/>
          <w:lang w:val="es-MX" w:eastAsia="en-US"/>
        </w:rPr>
        <w:t>o</w:t>
      </w:r>
      <w:r w:rsidR="004A171B" w:rsidRPr="004A6D18">
        <w:rPr>
          <w:rFonts w:ascii="Arial" w:eastAsiaTheme="minorHAnsi" w:hAnsi="Arial" w:cs="Arial"/>
          <w:lang w:val="es-MX" w:eastAsia="en-US"/>
        </w:rPr>
        <w:t xml:space="preserve"> por Secretaría General de éste Consejo Estatal Electoral</w:t>
      </w:r>
      <w:r w:rsidR="00841C62" w:rsidRPr="004A6D18">
        <w:rPr>
          <w:rFonts w:ascii="Arial" w:eastAsiaTheme="minorHAnsi" w:hAnsi="Arial" w:cs="Arial"/>
          <w:lang w:val="es-MX" w:eastAsia="en-US"/>
        </w:rPr>
        <w:t xml:space="preserve"> a</w:t>
      </w:r>
      <w:r w:rsidR="009566AF" w:rsidRPr="004A6D18">
        <w:rPr>
          <w:rFonts w:ascii="Arial" w:eastAsiaTheme="minorHAnsi" w:hAnsi="Arial" w:cs="Arial"/>
          <w:lang w:val="es-MX" w:eastAsia="en-US"/>
        </w:rPr>
        <w:t xml:space="preserve"> </w:t>
      </w:r>
      <w:r w:rsidR="00841C62" w:rsidRPr="004A6D18">
        <w:rPr>
          <w:rFonts w:ascii="Arial" w:eastAsiaTheme="minorHAnsi" w:hAnsi="Arial" w:cs="Arial"/>
          <w:lang w:val="es-MX" w:eastAsia="en-US"/>
        </w:rPr>
        <w:t xml:space="preserve">la Coalición quejosa </w:t>
      </w:r>
      <w:r w:rsidR="009566AF" w:rsidRPr="004A6D18">
        <w:rPr>
          <w:rFonts w:ascii="Arial" w:eastAsiaTheme="minorHAnsi" w:hAnsi="Arial" w:cs="Arial"/>
          <w:lang w:val="es-MX" w:eastAsia="en-US"/>
        </w:rPr>
        <w:t xml:space="preserve">para que subsanará </w:t>
      </w:r>
      <w:r w:rsidR="004A171B" w:rsidRPr="004A6D18">
        <w:rPr>
          <w:rFonts w:ascii="Arial" w:eastAsiaTheme="minorHAnsi" w:hAnsi="Arial" w:cs="Arial"/>
          <w:lang w:val="es-MX" w:eastAsia="en-US"/>
        </w:rPr>
        <w:t>las omisiones</w:t>
      </w:r>
      <w:r w:rsidR="00834B50">
        <w:rPr>
          <w:rFonts w:ascii="Arial" w:eastAsiaTheme="minorHAnsi" w:hAnsi="Arial" w:cs="Arial"/>
          <w:lang w:val="es-MX" w:eastAsia="en-US"/>
        </w:rPr>
        <w:t xml:space="preserve"> </w:t>
      </w:r>
      <w:r w:rsidR="004A171B" w:rsidRPr="004A6D18">
        <w:rPr>
          <w:rFonts w:ascii="Arial" w:eastAsiaTheme="minorHAnsi" w:hAnsi="Arial" w:cs="Arial"/>
          <w:lang w:val="es-MX" w:eastAsia="en-US"/>
        </w:rPr>
        <w:t xml:space="preserve">presentadas en su </w:t>
      </w:r>
      <w:r w:rsidR="00B10629">
        <w:rPr>
          <w:rFonts w:ascii="Arial" w:eastAsiaTheme="minorHAnsi" w:hAnsi="Arial" w:cs="Arial"/>
          <w:lang w:val="es-MX" w:eastAsia="en-US"/>
        </w:rPr>
        <w:t>escrito inicial</w:t>
      </w:r>
      <w:r w:rsidR="004A6D18">
        <w:rPr>
          <w:rFonts w:ascii="Arial" w:eastAsiaTheme="minorHAnsi" w:hAnsi="Arial" w:cs="Arial"/>
          <w:lang w:val="es-MX" w:eastAsia="en-US"/>
        </w:rPr>
        <w:t xml:space="preserve">, </w:t>
      </w:r>
      <w:r w:rsidR="00841C62">
        <w:rPr>
          <w:rFonts w:ascii="Arial" w:eastAsiaTheme="minorHAnsi" w:hAnsi="Arial" w:cs="Arial"/>
          <w:lang w:val="es-MX" w:eastAsia="en-US"/>
        </w:rPr>
        <w:t xml:space="preserve">ésta jamás </w:t>
      </w:r>
      <w:r w:rsidR="004A171B">
        <w:rPr>
          <w:rFonts w:ascii="Arial" w:eastAsiaTheme="minorHAnsi" w:hAnsi="Arial" w:cs="Arial"/>
          <w:lang w:val="es-MX" w:eastAsia="en-US"/>
        </w:rPr>
        <w:t xml:space="preserve">procedió a realizar </w:t>
      </w:r>
      <w:r w:rsidR="00841C62">
        <w:rPr>
          <w:rFonts w:ascii="Arial" w:eastAsiaTheme="minorHAnsi" w:hAnsi="Arial" w:cs="Arial"/>
          <w:lang w:val="es-MX" w:eastAsia="en-US"/>
        </w:rPr>
        <w:t xml:space="preserve">ninguna actuación </w:t>
      </w:r>
      <w:r w:rsidR="004A171B">
        <w:rPr>
          <w:rFonts w:ascii="Arial" w:eastAsiaTheme="minorHAnsi" w:hAnsi="Arial" w:cs="Arial"/>
          <w:lang w:val="es-MX" w:eastAsia="en-US"/>
        </w:rPr>
        <w:t>por lo que al no atender el requerimiento</w:t>
      </w:r>
      <w:r w:rsidR="00834B50">
        <w:rPr>
          <w:rFonts w:ascii="Arial" w:eastAsiaTheme="minorHAnsi" w:hAnsi="Arial" w:cs="Arial"/>
          <w:lang w:val="es-MX" w:eastAsia="en-US"/>
        </w:rPr>
        <w:t xml:space="preserve"> </w:t>
      </w:r>
      <w:r w:rsidR="004A171B">
        <w:rPr>
          <w:rFonts w:ascii="Arial" w:eastAsiaTheme="minorHAnsi" w:hAnsi="Arial" w:cs="Arial"/>
          <w:lang w:val="es-MX" w:eastAsia="en-US"/>
        </w:rPr>
        <w:t xml:space="preserve">en mención es procedente el desechamiento de plano por notoriamente improcedente el escrito de queja interpuesto por el Lic. Diego Octavio Lizárraga Mota, en su carácter de representante propietario de la Coalición Transformemos Sinaloa ante el Consejo Distrital Electoral XXII, por no haberlo hecho en los términos de Ley al no haber agotado </w:t>
      </w:r>
      <w:r w:rsidR="004A171B" w:rsidRPr="004A171B">
        <w:rPr>
          <w:rFonts w:ascii="Arial" w:eastAsiaTheme="minorHAnsi" w:hAnsi="Arial" w:cs="Arial"/>
          <w:lang w:val="es-MX" w:eastAsia="en-US"/>
        </w:rPr>
        <w:t>lo establecido en el Artículo 521 fracción IV, al no hacerse mención de las disposiciones legales que presuntamente fueron vulneradas con las conductas desplegadas por los ciudadanos denunciados y la Coalición Unidos Ganas Tú,</w:t>
      </w:r>
      <w:r w:rsidR="00834B50">
        <w:rPr>
          <w:rFonts w:ascii="Arial" w:eastAsiaTheme="minorHAnsi" w:hAnsi="Arial" w:cs="Arial"/>
          <w:highlight w:val="yellow"/>
          <w:lang w:val="es-MX" w:eastAsia="en-US"/>
        </w:rPr>
        <w:t xml:space="preserve"> </w:t>
      </w:r>
      <w:r w:rsidR="004A171B">
        <w:rPr>
          <w:rFonts w:ascii="Arial" w:eastAsiaTheme="minorHAnsi" w:hAnsi="Arial" w:cs="Arial"/>
          <w:lang w:val="es-MX" w:eastAsia="en-US"/>
        </w:rPr>
        <w:t>motivo por el cual, ésta comisión se encuentra impedida para pronunciarse en relación al fondo del presente asunto.</w:t>
      </w:r>
      <w:r w:rsidR="00526D53">
        <w:rPr>
          <w:rFonts w:ascii="Arial" w:eastAsiaTheme="minorHAnsi" w:hAnsi="Arial" w:cs="Arial"/>
          <w:lang w:val="es-MX" w:eastAsia="en-US"/>
        </w:rPr>
        <w:tab/>
      </w:r>
    </w:p>
    <w:p w:rsidR="00841C62" w:rsidRDefault="00841C62" w:rsidP="00526D53">
      <w:pPr>
        <w:tabs>
          <w:tab w:val="right" w:leader="hyphen" w:pos="9072"/>
        </w:tabs>
        <w:autoSpaceDE w:val="0"/>
        <w:autoSpaceDN w:val="0"/>
        <w:adjustRightInd w:val="0"/>
        <w:ind w:right="-283"/>
        <w:jc w:val="both"/>
        <w:rPr>
          <w:rFonts w:ascii="Arial" w:eastAsiaTheme="minorHAnsi" w:hAnsi="Arial" w:cs="Arial"/>
          <w:lang w:val="es-MX" w:eastAsia="en-US"/>
        </w:rPr>
      </w:pPr>
    </w:p>
    <w:p w:rsidR="00B113E7" w:rsidRPr="00830608" w:rsidRDefault="00B113E7" w:rsidP="00526D53">
      <w:pPr>
        <w:tabs>
          <w:tab w:val="right" w:leader="hyphen" w:pos="9072"/>
        </w:tabs>
        <w:autoSpaceDE w:val="0"/>
        <w:autoSpaceDN w:val="0"/>
        <w:adjustRightInd w:val="0"/>
        <w:ind w:right="-283"/>
        <w:jc w:val="both"/>
        <w:rPr>
          <w:rFonts w:ascii="Arial" w:eastAsiaTheme="minorHAnsi" w:hAnsi="Arial" w:cs="Arial"/>
          <w:lang w:val="es-MX" w:eastAsia="en-US"/>
        </w:rPr>
      </w:pPr>
      <w:r w:rsidRPr="00B10629">
        <w:rPr>
          <w:rFonts w:ascii="Arial" w:hAnsi="Arial" w:cs="Arial"/>
          <w:szCs w:val="20"/>
          <w:lang w:val="es-MX"/>
        </w:rPr>
        <w:t xml:space="preserve">Por todo lo anteriormente expuesto y debidamente fundado, y con apoyo en lo dispuesto por los </w:t>
      </w:r>
      <w:r w:rsidRPr="00B10629">
        <w:rPr>
          <w:rFonts w:ascii="Arial" w:hAnsi="Arial" w:cs="Arial"/>
          <w:szCs w:val="20"/>
        </w:rPr>
        <w:t>artículos 15 de la Constitución Política del Estado de Sinaloa, artículo 2 párrafo segundo,</w:t>
      </w:r>
      <w:r w:rsidR="00834B50">
        <w:rPr>
          <w:rFonts w:ascii="Arial" w:hAnsi="Arial" w:cs="Arial"/>
          <w:szCs w:val="20"/>
        </w:rPr>
        <w:t xml:space="preserve"> </w:t>
      </w:r>
      <w:r w:rsidRPr="00B10629">
        <w:rPr>
          <w:rFonts w:ascii="Arial" w:hAnsi="Arial" w:cs="Arial"/>
          <w:szCs w:val="20"/>
        </w:rPr>
        <w:t>47, 49, 56, frac</w:t>
      </w:r>
      <w:r w:rsidR="004A6D18" w:rsidRPr="00B10629">
        <w:rPr>
          <w:rFonts w:ascii="Arial" w:hAnsi="Arial" w:cs="Arial"/>
          <w:szCs w:val="20"/>
        </w:rPr>
        <w:t>ción XIV, 251 párrafo segundo, fracción IV</w:t>
      </w:r>
      <w:r w:rsidR="004A6D18" w:rsidRPr="00B10629">
        <w:rPr>
          <w:rFonts w:ascii="Arial" w:hAnsi="Arial" w:cs="Arial"/>
        </w:rPr>
        <w:t xml:space="preserve"> así como el párrafo quinto y</w:t>
      </w:r>
      <w:r w:rsidRPr="00B10629">
        <w:rPr>
          <w:rFonts w:ascii="Arial" w:hAnsi="Arial" w:cs="Arial"/>
        </w:rPr>
        <w:t xml:space="preserve"> </w:t>
      </w:r>
      <w:r w:rsidRPr="00B10629">
        <w:rPr>
          <w:rFonts w:ascii="Arial" w:hAnsi="Arial" w:cs="Arial"/>
          <w:szCs w:val="20"/>
        </w:rPr>
        <w:t>demás relativos de la Ley Electoral del Estado de Sinaloa, se emite</w:t>
      </w:r>
      <w:r w:rsidRPr="00B10629">
        <w:rPr>
          <w:rFonts w:ascii="Arial" w:hAnsi="Arial" w:cs="Arial"/>
          <w:szCs w:val="20"/>
          <w:lang w:val="es-MX"/>
        </w:rPr>
        <w:t xml:space="preserve"> el siguiente:</w:t>
      </w:r>
      <w:r w:rsidRPr="002B76BA">
        <w:rPr>
          <w:rFonts w:ascii="Arial" w:hAnsi="Arial" w:cs="Arial"/>
          <w:szCs w:val="20"/>
          <w:lang w:val="es-MX"/>
        </w:rPr>
        <w:t xml:space="preserve"> </w:t>
      </w:r>
      <w:r w:rsidR="00526D53">
        <w:rPr>
          <w:rFonts w:ascii="Arial" w:hAnsi="Arial" w:cs="Arial"/>
          <w:szCs w:val="20"/>
          <w:lang w:val="es-MX"/>
        </w:rPr>
        <w:tab/>
      </w:r>
    </w:p>
    <w:p w:rsidR="00B113E7" w:rsidRDefault="00B113E7" w:rsidP="00526D53">
      <w:pPr>
        <w:tabs>
          <w:tab w:val="right" w:leader="hyphen" w:pos="9072"/>
        </w:tabs>
        <w:jc w:val="both"/>
        <w:rPr>
          <w:rFonts w:ascii="Arial" w:hAnsi="Arial" w:cs="Arial"/>
          <w:szCs w:val="20"/>
          <w:lang w:val="es-MX"/>
        </w:rPr>
      </w:pPr>
    </w:p>
    <w:p w:rsidR="00B113E7" w:rsidRPr="002B76BA" w:rsidRDefault="00B113E7" w:rsidP="00526D53">
      <w:pPr>
        <w:tabs>
          <w:tab w:val="right" w:leader="hyphen" w:pos="9072"/>
        </w:tabs>
        <w:jc w:val="center"/>
        <w:rPr>
          <w:rFonts w:ascii="Arial" w:hAnsi="Arial" w:cs="Arial"/>
          <w:b/>
          <w:bCs/>
          <w:szCs w:val="20"/>
          <w:lang w:val="es-MX"/>
        </w:rPr>
      </w:pPr>
      <w:r>
        <w:rPr>
          <w:rFonts w:ascii="Arial" w:hAnsi="Arial" w:cs="Arial"/>
          <w:b/>
          <w:bCs/>
          <w:szCs w:val="20"/>
          <w:lang w:val="es-MX"/>
        </w:rPr>
        <w:t>------------------</w:t>
      </w:r>
      <w:r w:rsidR="001A5BE1">
        <w:rPr>
          <w:rFonts w:ascii="Arial" w:hAnsi="Arial" w:cs="Arial"/>
          <w:b/>
          <w:bCs/>
          <w:szCs w:val="20"/>
          <w:lang w:val="es-MX"/>
        </w:rPr>
        <w:t>-------------------------</w:t>
      </w:r>
      <w:r>
        <w:rPr>
          <w:rFonts w:ascii="Arial" w:hAnsi="Arial" w:cs="Arial"/>
          <w:b/>
          <w:bCs/>
          <w:szCs w:val="20"/>
          <w:lang w:val="es-MX"/>
        </w:rPr>
        <w:t>---</w:t>
      </w:r>
      <w:r w:rsidRPr="002B76BA">
        <w:rPr>
          <w:rFonts w:ascii="Arial" w:hAnsi="Arial" w:cs="Arial"/>
          <w:b/>
          <w:bCs/>
          <w:szCs w:val="20"/>
          <w:lang w:val="es-MX"/>
        </w:rPr>
        <w:t>DICTAMEN</w:t>
      </w:r>
      <w:r>
        <w:rPr>
          <w:rFonts w:ascii="Arial" w:hAnsi="Arial" w:cs="Arial"/>
          <w:b/>
          <w:bCs/>
          <w:szCs w:val="20"/>
          <w:lang w:val="es-MX"/>
        </w:rPr>
        <w:tab/>
      </w:r>
    </w:p>
    <w:p w:rsidR="00B113E7" w:rsidRPr="002B76BA" w:rsidRDefault="00B113E7" w:rsidP="00526D53">
      <w:pPr>
        <w:tabs>
          <w:tab w:val="right" w:leader="hyphen" w:pos="9072"/>
        </w:tabs>
        <w:jc w:val="both"/>
        <w:rPr>
          <w:rFonts w:ascii="Arial" w:hAnsi="Arial" w:cs="Arial"/>
          <w:lang w:val="es-MX"/>
        </w:rPr>
      </w:pPr>
    </w:p>
    <w:p w:rsidR="00B113E7" w:rsidRPr="002B76BA" w:rsidRDefault="00B113E7" w:rsidP="00526D53">
      <w:pPr>
        <w:tabs>
          <w:tab w:val="right" w:leader="hyphen" w:pos="9072"/>
        </w:tabs>
        <w:ind w:right="-283"/>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B76BA">
        <w:rPr>
          <w:rFonts w:ascii="Arial" w:hAnsi="Arial" w:cs="Arial"/>
          <w:lang w:val="es-MX"/>
        </w:rPr>
        <w:t xml:space="preserve">.- Se </w:t>
      </w:r>
      <w:r>
        <w:rPr>
          <w:rFonts w:ascii="Arial" w:hAnsi="Arial" w:cs="Arial"/>
          <w:lang w:val="es-MX"/>
        </w:rPr>
        <w:t xml:space="preserve">desecha de plano </w:t>
      </w:r>
      <w:r w:rsidR="001A5BE1">
        <w:rPr>
          <w:rFonts w:ascii="Arial" w:hAnsi="Arial" w:cs="Arial"/>
          <w:lang w:val="es-MX"/>
        </w:rPr>
        <w:t xml:space="preserve">por notoriamente improcedente </w:t>
      </w:r>
      <w:r>
        <w:rPr>
          <w:rFonts w:ascii="Arial" w:hAnsi="Arial" w:cs="Arial"/>
          <w:lang w:val="es-MX"/>
        </w:rPr>
        <w:t>la Q</w:t>
      </w:r>
      <w:r w:rsidRPr="002B76BA">
        <w:rPr>
          <w:rFonts w:ascii="Arial" w:hAnsi="Arial" w:cs="Arial"/>
          <w:lang w:val="es-MX"/>
        </w:rPr>
        <w:t xml:space="preserve">ueja </w:t>
      </w:r>
      <w:r>
        <w:rPr>
          <w:rFonts w:ascii="Arial" w:hAnsi="Arial" w:cs="Arial"/>
          <w:lang w:val="es-MX"/>
        </w:rPr>
        <w:t>A</w:t>
      </w:r>
      <w:r w:rsidRPr="002B76BA">
        <w:rPr>
          <w:rFonts w:ascii="Arial" w:hAnsi="Arial" w:cs="Arial"/>
          <w:lang w:val="es-MX"/>
        </w:rPr>
        <w:t>dministrativa</w:t>
      </w:r>
      <w:r>
        <w:rPr>
          <w:rFonts w:ascii="Arial" w:hAnsi="Arial" w:cs="Arial"/>
          <w:lang w:val="es-MX"/>
        </w:rPr>
        <w:t xml:space="preserve"> interpuest</w:t>
      </w:r>
      <w:r w:rsidR="001A5BE1">
        <w:rPr>
          <w:rFonts w:ascii="Arial" w:hAnsi="Arial" w:cs="Arial"/>
          <w:lang w:val="es-MX"/>
        </w:rPr>
        <w:t>a por el C. Diego Octavio Lizárraga Mota</w:t>
      </w:r>
      <w:r>
        <w:rPr>
          <w:rFonts w:ascii="Arial" w:hAnsi="Arial" w:cs="Arial"/>
          <w:lang w:val="es-MX"/>
        </w:rPr>
        <w:t>,</w:t>
      </w:r>
      <w:r w:rsidR="003A5147">
        <w:rPr>
          <w:rFonts w:ascii="Arial" w:hAnsi="Arial" w:cs="Arial"/>
          <w:lang w:val="es-MX"/>
        </w:rPr>
        <w:t xml:space="preserve"> representante propietario de la </w:t>
      </w:r>
      <w:r w:rsidR="004E59CB">
        <w:rPr>
          <w:rFonts w:ascii="Arial" w:hAnsi="Arial" w:cs="Arial"/>
          <w:lang w:val="es-MX"/>
        </w:rPr>
        <w:t>Coalición</w:t>
      </w:r>
      <w:r w:rsidR="003A5147">
        <w:rPr>
          <w:rFonts w:ascii="Arial" w:hAnsi="Arial" w:cs="Arial"/>
          <w:lang w:val="es-MX"/>
        </w:rPr>
        <w:t xml:space="preserve"> “Transformemos Sinaloa” ante el XXII Consejo Distrital Electoral</w:t>
      </w:r>
      <w:r>
        <w:rPr>
          <w:rFonts w:ascii="Arial" w:hAnsi="Arial" w:cs="Arial"/>
          <w:lang w:val="es-MX"/>
        </w:rPr>
        <w:t xml:space="preserve"> toda vez que se actualiza la causal de improcedencia prevista en el numeral 251, párrafo </w:t>
      </w:r>
      <w:r w:rsidR="004166CE">
        <w:rPr>
          <w:rFonts w:ascii="Arial" w:hAnsi="Arial" w:cs="Arial"/>
          <w:lang w:val="es-MX"/>
        </w:rPr>
        <w:t>quinto</w:t>
      </w:r>
      <w:r>
        <w:rPr>
          <w:rFonts w:ascii="Arial" w:hAnsi="Arial" w:cs="Arial"/>
          <w:lang w:val="es-MX"/>
        </w:rPr>
        <w:t xml:space="preserve">, de la Ley Electoral del Estado de Sinaloa, </w:t>
      </w:r>
      <w:r w:rsidR="00834B50">
        <w:rPr>
          <w:rFonts w:ascii="Arial" w:hAnsi="Arial" w:cs="Arial"/>
          <w:lang w:val="es-MX"/>
        </w:rPr>
        <w:t>en virtud de</w:t>
      </w:r>
      <w:r>
        <w:rPr>
          <w:rFonts w:ascii="Arial" w:hAnsi="Arial" w:cs="Arial"/>
          <w:lang w:val="es-MX"/>
        </w:rPr>
        <w:t xml:space="preserve"> las razones y fundamento </w:t>
      </w:r>
      <w:r w:rsidR="001A5BE1">
        <w:rPr>
          <w:rFonts w:ascii="Arial" w:hAnsi="Arial" w:cs="Arial"/>
          <w:lang w:val="es-MX"/>
        </w:rPr>
        <w:t>legal expresados en el</w:t>
      </w:r>
      <w:r>
        <w:rPr>
          <w:rFonts w:ascii="Arial" w:hAnsi="Arial" w:cs="Arial"/>
          <w:lang w:val="es-MX"/>
        </w:rPr>
        <w:t xml:space="preserve"> presente dictamen. </w:t>
      </w:r>
      <w:r>
        <w:rPr>
          <w:rFonts w:ascii="Arial" w:hAnsi="Arial" w:cs="Arial"/>
          <w:lang w:val="es-MX"/>
        </w:rPr>
        <w:tab/>
      </w:r>
    </w:p>
    <w:p w:rsidR="00B113E7" w:rsidRPr="002B76BA" w:rsidRDefault="00B113E7" w:rsidP="00526D53">
      <w:pPr>
        <w:tabs>
          <w:tab w:val="right" w:leader="hyphen" w:pos="9072"/>
        </w:tabs>
        <w:jc w:val="both"/>
        <w:rPr>
          <w:rFonts w:ascii="Arial" w:hAnsi="Arial" w:cs="Arial"/>
          <w:lang w:val="es-MX"/>
        </w:rPr>
      </w:pPr>
    </w:p>
    <w:p w:rsidR="004166CE" w:rsidRDefault="00B113E7" w:rsidP="00526D53">
      <w:pPr>
        <w:tabs>
          <w:tab w:val="right" w:leader="hyphen" w:pos="9072"/>
        </w:tabs>
        <w:ind w:right="-283"/>
        <w:jc w:val="both"/>
        <w:rPr>
          <w:rFonts w:ascii="Arial" w:hAnsi="Arial" w:cs="Arial"/>
          <w:lang w:val="es-ES_tradnl"/>
        </w:rPr>
      </w:pPr>
      <w:r>
        <w:rPr>
          <w:rFonts w:ascii="Arial" w:hAnsi="Arial" w:cs="Arial"/>
          <w:b/>
          <w:lang w:val="es-MX"/>
        </w:rPr>
        <w:t>---</w:t>
      </w:r>
      <w:r w:rsidRPr="002B76BA">
        <w:rPr>
          <w:rFonts w:ascii="Arial" w:hAnsi="Arial" w:cs="Arial"/>
          <w:b/>
          <w:lang w:val="es-MX"/>
        </w:rPr>
        <w:t>SEGUNDO.-</w:t>
      </w:r>
      <w:r w:rsidRPr="002B76BA">
        <w:rPr>
          <w:rFonts w:ascii="Arial" w:hAnsi="Arial" w:cs="Arial"/>
          <w:lang w:val="es-MX"/>
        </w:rPr>
        <w:t xml:space="preserve"> </w:t>
      </w:r>
      <w:r w:rsidR="004166CE" w:rsidRPr="002B76BA">
        <w:rPr>
          <w:rFonts w:ascii="Arial" w:hAnsi="Arial" w:cs="Arial"/>
          <w:lang w:val="es-ES_tradnl"/>
        </w:rPr>
        <w:t>Notifíquese a los Partidos Políticos</w:t>
      </w:r>
      <w:r w:rsidR="004166CE">
        <w:rPr>
          <w:rFonts w:ascii="Arial" w:hAnsi="Arial" w:cs="Arial"/>
          <w:lang w:val="es-ES_tradnl"/>
        </w:rPr>
        <w:t xml:space="preserve"> y Coaliciones</w:t>
      </w:r>
      <w:r w:rsidR="004166CE" w:rsidRPr="002B76BA">
        <w:rPr>
          <w:rFonts w:ascii="Arial" w:hAnsi="Arial" w:cs="Arial"/>
          <w:lang w:val="es-ES_tradnl"/>
        </w:rPr>
        <w:t xml:space="preserve"> acre</w:t>
      </w:r>
      <w:r w:rsidR="004166CE">
        <w:rPr>
          <w:rFonts w:ascii="Arial" w:hAnsi="Arial" w:cs="Arial"/>
          <w:lang w:val="es-ES_tradnl"/>
        </w:rPr>
        <w:t xml:space="preserve">ditados </w:t>
      </w:r>
      <w:r w:rsidR="004166CE" w:rsidRPr="002B76BA">
        <w:rPr>
          <w:rFonts w:ascii="Arial" w:hAnsi="Arial" w:cs="Arial"/>
          <w:lang w:val="es-ES_tradnl"/>
        </w:rPr>
        <w:t>ante este órgano electoral, salvo que se encuentren en el supuesto del artículo 239 de la Ley</w:t>
      </w:r>
      <w:r w:rsidR="00834B50">
        <w:rPr>
          <w:rFonts w:ascii="Arial" w:hAnsi="Arial" w:cs="Arial"/>
          <w:lang w:val="es-ES_tradnl"/>
        </w:rPr>
        <w:t xml:space="preserve"> Electoral del Estado</w:t>
      </w:r>
      <w:r w:rsidR="004166CE">
        <w:rPr>
          <w:rFonts w:ascii="Arial" w:hAnsi="Arial" w:cs="Arial"/>
          <w:lang w:val="es-ES_tradnl"/>
        </w:rPr>
        <w:t>.</w:t>
      </w:r>
      <w:r w:rsidR="00526D53">
        <w:rPr>
          <w:rFonts w:ascii="Arial" w:hAnsi="Arial" w:cs="Arial"/>
          <w:lang w:val="es-ES_tradnl"/>
        </w:rPr>
        <w:tab/>
      </w:r>
    </w:p>
    <w:p w:rsidR="004166CE" w:rsidRDefault="004166CE" w:rsidP="00526D53">
      <w:pPr>
        <w:tabs>
          <w:tab w:val="right" w:leader="hyphen" w:pos="9072"/>
        </w:tabs>
        <w:jc w:val="both"/>
        <w:rPr>
          <w:rFonts w:ascii="Arial" w:hAnsi="Arial" w:cs="Arial"/>
          <w:lang w:val="es-ES_tradnl"/>
        </w:rPr>
      </w:pPr>
    </w:p>
    <w:p w:rsidR="00B113E7" w:rsidRDefault="00B113E7" w:rsidP="00526D53">
      <w:pPr>
        <w:tabs>
          <w:tab w:val="right" w:leader="hyphen" w:pos="9072"/>
        </w:tabs>
        <w:jc w:val="center"/>
        <w:rPr>
          <w:rFonts w:ascii="Arial" w:hAnsi="Arial" w:cs="Arial"/>
          <w:b/>
          <w:sz w:val="22"/>
          <w:szCs w:val="22"/>
          <w:highlight w:val="cyan"/>
        </w:rPr>
      </w:pPr>
    </w:p>
    <w:p w:rsidR="00B113E7" w:rsidRPr="00830608" w:rsidRDefault="00B113E7" w:rsidP="00526D53">
      <w:pPr>
        <w:tabs>
          <w:tab w:val="right" w:leader="hyphen" w:pos="9072"/>
        </w:tabs>
        <w:jc w:val="center"/>
        <w:rPr>
          <w:rFonts w:ascii="Arial" w:hAnsi="Arial" w:cs="Arial"/>
          <w:b/>
          <w:sz w:val="22"/>
          <w:szCs w:val="22"/>
        </w:rPr>
      </w:pPr>
      <w:r w:rsidRPr="00830608">
        <w:rPr>
          <w:rFonts w:ascii="Arial" w:hAnsi="Arial" w:cs="Arial"/>
          <w:b/>
          <w:sz w:val="22"/>
          <w:szCs w:val="22"/>
        </w:rPr>
        <w:t>LA COMISIÓN DE ORGANIZACIÓN Y VIGILANCIA ELECTORAL</w:t>
      </w:r>
    </w:p>
    <w:p w:rsidR="00B113E7" w:rsidRDefault="00B113E7" w:rsidP="00526D53">
      <w:pPr>
        <w:tabs>
          <w:tab w:val="right" w:leader="hyphen" w:pos="9072"/>
        </w:tabs>
        <w:jc w:val="both"/>
        <w:rPr>
          <w:rFonts w:ascii="Arial" w:hAnsi="Arial" w:cs="Arial"/>
          <w:sz w:val="22"/>
          <w:szCs w:val="22"/>
          <w:highlight w:val="cyan"/>
        </w:rPr>
      </w:pPr>
    </w:p>
    <w:p w:rsidR="00B113E7" w:rsidRPr="00EB590B" w:rsidRDefault="00B113E7" w:rsidP="00526D53">
      <w:pPr>
        <w:tabs>
          <w:tab w:val="right" w:leader="hyphen" w:pos="9072"/>
        </w:tabs>
        <w:jc w:val="both"/>
        <w:rPr>
          <w:rFonts w:ascii="Arial" w:hAnsi="Arial" w:cs="Arial"/>
          <w:sz w:val="22"/>
          <w:szCs w:val="22"/>
          <w:highlight w:val="cyan"/>
        </w:rPr>
      </w:pPr>
    </w:p>
    <w:p w:rsidR="00B113E7" w:rsidRPr="00EB590B" w:rsidRDefault="00B113E7" w:rsidP="00526D53">
      <w:pPr>
        <w:tabs>
          <w:tab w:val="right" w:leader="hyphen" w:pos="9072"/>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B113E7" w:rsidRPr="00EB590B" w:rsidTr="00862F9B">
        <w:trPr>
          <w:trHeight w:val="474"/>
        </w:trPr>
        <w:tc>
          <w:tcPr>
            <w:tcW w:w="4480" w:type="dxa"/>
            <w:tcBorders>
              <w:top w:val="nil"/>
              <w:left w:val="nil"/>
              <w:bottom w:val="nil"/>
              <w:right w:val="nil"/>
            </w:tcBorders>
          </w:tcPr>
          <w:p w:rsidR="00B113E7" w:rsidRPr="00BA183E" w:rsidRDefault="00BA183E" w:rsidP="00526D53">
            <w:pPr>
              <w:pStyle w:val="Ttulo6"/>
              <w:tabs>
                <w:tab w:val="right" w:leader="hyphen" w:pos="9072"/>
              </w:tabs>
              <w:rPr>
                <w:rFonts w:cs="Arial"/>
                <w:bCs/>
                <w:szCs w:val="24"/>
                <w:lang w:val="es-ES"/>
              </w:rPr>
            </w:pPr>
            <w:r w:rsidRPr="00BA183E">
              <w:rPr>
                <w:rFonts w:cs="Arial"/>
                <w:bCs/>
                <w:szCs w:val="24"/>
                <w:lang w:val="es-ES"/>
              </w:rPr>
              <w:t>PROFR. ANDRÉS LÓPEZ MUÑOZ</w:t>
            </w:r>
          </w:p>
          <w:p w:rsidR="00B113E7" w:rsidRPr="00EB590B" w:rsidRDefault="00B113E7" w:rsidP="00526D53">
            <w:pPr>
              <w:tabs>
                <w:tab w:val="right" w:leader="hyphen" w:pos="9072"/>
              </w:tabs>
              <w:jc w:val="center"/>
              <w:rPr>
                <w:rFonts w:ascii="Arial" w:hAnsi="Arial" w:cs="Arial"/>
              </w:rPr>
            </w:pPr>
            <w:r w:rsidRPr="00EB590B">
              <w:rPr>
                <w:rFonts w:ascii="Arial" w:hAnsi="Arial" w:cs="Arial"/>
              </w:rPr>
              <w:t>Titular de la Comisión</w:t>
            </w:r>
          </w:p>
        </w:tc>
      </w:tr>
    </w:tbl>
    <w:p w:rsidR="00B113E7" w:rsidRDefault="00B113E7" w:rsidP="00526D53">
      <w:pPr>
        <w:tabs>
          <w:tab w:val="right" w:leader="hyphen" w:pos="9072"/>
        </w:tabs>
        <w:jc w:val="both"/>
        <w:rPr>
          <w:rFonts w:ascii="Arial" w:hAnsi="Arial" w:cs="Arial"/>
          <w:sz w:val="22"/>
          <w:szCs w:val="22"/>
        </w:rPr>
      </w:pPr>
    </w:p>
    <w:p w:rsidR="00B113E7" w:rsidRDefault="00B113E7" w:rsidP="00526D53">
      <w:pPr>
        <w:tabs>
          <w:tab w:val="right" w:leader="hyphen" w:pos="9072"/>
        </w:tabs>
        <w:jc w:val="both"/>
        <w:rPr>
          <w:rFonts w:ascii="Arial" w:hAnsi="Arial" w:cs="Arial"/>
          <w:sz w:val="22"/>
          <w:szCs w:val="22"/>
        </w:rPr>
      </w:pPr>
    </w:p>
    <w:p w:rsidR="00B113E7" w:rsidRPr="00EB590B" w:rsidRDefault="00B113E7" w:rsidP="00526D53">
      <w:pPr>
        <w:tabs>
          <w:tab w:val="right" w:leader="hyphen" w:pos="9072"/>
        </w:tabs>
        <w:jc w:val="both"/>
        <w:rPr>
          <w:rFonts w:ascii="Arial" w:hAnsi="Arial" w:cs="Arial"/>
          <w:sz w:val="22"/>
          <w:szCs w:val="22"/>
        </w:rPr>
      </w:pPr>
    </w:p>
    <w:p w:rsidR="00B113E7" w:rsidRPr="00EB590B" w:rsidRDefault="00B113E7" w:rsidP="00526D53">
      <w:pPr>
        <w:pStyle w:val="Ttulo5"/>
        <w:tabs>
          <w:tab w:val="right" w:leader="hyphen" w:pos="9072"/>
        </w:tabs>
        <w:jc w:val="center"/>
        <w:rPr>
          <w:rFonts w:cs="Arial"/>
          <w:b w:val="0"/>
          <w:sz w:val="22"/>
          <w:szCs w:val="22"/>
        </w:rPr>
      </w:pPr>
    </w:p>
    <w:p w:rsidR="00B113E7" w:rsidRPr="00EB590B" w:rsidRDefault="00B113E7" w:rsidP="00526D53">
      <w:pPr>
        <w:tabs>
          <w:tab w:val="right" w:leader="hyphen" w:pos="9072"/>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B113E7" w:rsidRPr="00EB590B" w:rsidTr="00862F9B">
        <w:trPr>
          <w:trHeight w:val="565"/>
        </w:trPr>
        <w:tc>
          <w:tcPr>
            <w:tcW w:w="4337" w:type="dxa"/>
            <w:tcBorders>
              <w:top w:val="nil"/>
              <w:left w:val="nil"/>
              <w:bottom w:val="nil"/>
              <w:right w:val="nil"/>
            </w:tcBorders>
          </w:tcPr>
          <w:p w:rsidR="00B113E7" w:rsidRPr="00BA183E" w:rsidRDefault="00BA183E" w:rsidP="00526D53">
            <w:pPr>
              <w:tabs>
                <w:tab w:val="right" w:leader="hyphen" w:pos="9072"/>
              </w:tabs>
              <w:jc w:val="center"/>
              <w:rPr>
                <w:rFonts w:ascii="Arial" w:hAnsi="Arial" w:cs="Arial"/>
                <w:b/>
                <w:bCs/>
              </w:rPr>
            </w:pPr>
            <w:r w:rsidRPr="00BA183E">
              <w:rPr>
                <w:rFonts w:ascii="Arial" w:hAnsi="Arial" w:cs="Arial"/>
                <w:b/>
                <w:bCs/>
              </w:rPr>
              <w:t>LIC. ARTURO FAJARDO MEJÍA</w:t>
            </w:r>
          </w:p>
          <w:p w:rsidR="00B113E7" w:rsidRPr="00EB590B" w:rsidRDefault="00B113E7" w:rsidP="00526D53">
            <w:pPr>
              <w:tabs>
                <w:tab w:val="right" w:leader="hyphen" w:pos="9072"/>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B113E7" w:rsidRPr="00EB590B" w:rsidRDefault="00B113E7" w:rsidP="00526D53">
            <w:pPr>
              <w:pStyle w:val="Textoindependiente"/>
              <w:tabs>
                <w:tab w:val="right" w:leader="hyphen" w:pos="9072"/>
              </w:tabs>
              <w:jc w:val="center"/>
              <w:rPr>
                <w:rFonts w:ascii="Arial" w:hAnsi="Arial" w:cs="Arial"/>
                <w:b w:val="0"/>
                <w:bCs w:val="0"/>
                <w:sz w:val="22"/>
              </w:rPr>
            </w:pPr>
          </w:p>
        </w:tc>
        <w:tc>
          <w:tcPr>
            <w:tcW w:w="4872" w:type="dxa"/>
            <w:tcBorders>
              <w:top w:val="nil"/>
              <w:left w:val="nil"/>
              <w:bottom w:val="nil"/>
              <w:right w:val="nil"/>
            </w:tcBorders>
          </w:tcPr>
          <w:p w:rsidR="00B113E7" w:rsidRPr="00BA183E" w:rsidRDefault="00BA183E" w:rsidP="00526D53">
            <w:pPr>
              <w:pStyle w:val="Ttulo6"/>
              <w:tabs>
                <w:tab w:val="right" w:leader="hyphen" w:pos="9072"/>
              </w:tabs>
              <w:rPr>
                <w:rFonts w:cs="Arial"/>
                <w:bCs/>
                <w:szCs w:val="24"/>
                <w:lang w:val="es-ES"/>
              </w:rPr>
            </w:pPr>
            <w:r w:rsidRPr="00BA183E">
              <w:rPr>
                <w:rFonts w:cs="Arial"/>
                <w:bCs/>
                <w:szCs w:val="24"/>
                <w:lang w:val="es-ES"/>
              </w:rPr>
              <w:t>LIC. RODRIGO BORBÓN CONTRERAS</w:t>
            </w:r>
          </w:p>
          <w:p w:rsidR="00B113E7" w:rsidRPr="00EB590B" w:rsidRDefault="00B113E7" w:rsidP="00526D53">
            <w:pPr>
              <w:pStyle w:val="Ttulo9"/>
              <w:tabs>
                <w:tab w:val="right" w:leader="hyphen" w:pos="9072"/>
              </w:tabs>
              <w:rPr>
                <w:bCs/>
              </w:rPr>
            </w:pPr>
            <w:r w:rsidRPr="00EB590B">
              <w:rPr>
                <w:bCs/>
                <w:sz w:val="22"/>
                <w:szCs w:val="22"/>
              </w:rPr>
              <w:t>Consejero Ciudadano</w:t>
            </w:r>
          </w:p>
        </w:tc>
      </w:tr>
    </w:tbl>
    <w:p w:rsidR="00B113E7" w:rsidRDefault="00B113E7" w:rsidP="00526D53">
      <w:pPr>
        <w:tabs>
          <w:tab w:val="right" w:leader="hyphen" w:pos="9072"/>
        </w:tabs>
        <w:jc w:val="both"/>
      </w:pPr>
    </w:p>
    <w:p w:rsidR="00BA183E" w:rsidRDefault="00BA183E" w:rsidP="00BA183E">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B113E7" w:rsidRDefault="00B113E7" w:rsidP="00526D53">
      <w:pPr>
        <w:tabs>
          <w:tab w:val="right" w:leader="hyphen" w:pos="9072"/>
        </w:tabs>
        <w:jc w:val="both"/>
      </w:pPr>
    </w:p>
    <w:p w:rsidR="00B113E7" w:rsidRDefault="00B113E7" w:rsidP="00526D53">
      <w:pPr>
        <w:tabs>
          <w:tab w:val="right" w:leader="hyphen" w:pos="9072"/>
        </w:tabs>
      </w:pPr>
    </w:p>
    <w:sectPr w:rsidR="00B113E7" w:rsidSect="00862F9B">
      <w:footerReference w:type="default" r:id="rId7"/>
      <w:pgSz w:w="12240" w:h="15840"/>
      <w:pgMar w:top="1417" w:right="175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636" w:rsidRDefault="00F74636" w:rsidP="00553317">
      <w:r>
        <w:separator/>
      </w:r>
    </w:p>
  </w:endnote>
  <w:endnote w:type="continuationSeparator" w:id="0">
    <w:p w:rsidR="00F74636" w:rsidRDefault="00F74636" w:rsidP="00553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4A171B" w:rsidRDefault="00665F3F">
        <w:pPr>
          <w:pStyle w:val="Piedepgina"/>
          <w:jc w:val="right"/>
        </w:pPr>
        <w:fldSimple w:instr=" PAGE   \* MERGEFORMAT ">
          <w:r w:rsidR="00F74636">
            <w:rPr>
              <w:noProof/>
            </w:rPr>
            <w:t>1</w:t>
          </w:r>
        </w:fldSimple>
      </w:p>
    </w:sdtContent>
  </w:sdt>
  <w:p w:rsidR="004A171B" w:rsidRDefault="004A17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636" w:rsidRDefault="00F74636" w:rsidP="00553317">
      <w:r>
        <w:separator/>
      </w:r>
    </w:p>
  </w:footnote>
  <w:footnote w:type="continuationSeparator" w:id="0">
    <w:p w:rsidR="00F74636" w:rsidRDefault="00F74636" w:rsidP="00553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6">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991B3D"/>
    <w:multiLevelType w:val="hybridMultilevel"/>
    <w:tmpl w:val="9684B514"/>
    <w:lvl w:ilvl="0" w:tplc="14DA3FD0">
      <w:start w:val="4"/>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7">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8">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1">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0F6645"/>
    <w:multiLevelType w:val="hybridMultilevel"/>
    <w:tmpl w:val="85104D5C"/>
    <w:lvl w:ilvl="0" w:tplc="30105B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30"/>
  </w:num>
  <w:num w:numId="3">
    <w:abstractNumId w:val="13"/>
  </w:num>
  <w:num w:numId="4">
    <w:abstractNumId w:val="6"/>
  </w:num>
  <w:num w:numId="5">
    <w:abstractNumId w:val="5"/>
  </w:num>
  <w:num w:numId="6">
    <w:abstractNumId w:val="16"/>
  </w:num>
  <w:num w:numId="7">
    <w:abstractNumId w:val="20"/>
  </w:num>
  <w:num w:numId="8">
    <w:abstractNumId w:val="23"/>
  </w:num>
  <w:num w:numId="9">
    <w:abstractNumId w:val="10"/>
  </w:num>
  <w:num w:numId="10">
    <w:abstractNumId w:val="3"/>
  </w:num>
  <w:num w:numId="11">
    <w:abstractNumId w:val="29"/>
  </w:num>
  <w:num w:numId="12">
    <w:abstractNumId w:val="2"/>
  </w:num>
  <w:num w:numId="13">
    <w:abstractNumId w:val="1"/>
  </w:num>
  <w:num w:numId="14">
    <w:abstractNumId w:val="15"/>
  </w:num>
  <w:num w:numId="15">
    <w:abstractNumId w:val="7"/>
  </w:num>
  <w:num w:numId="16">
    <w:abstractNumId w:val="28"/>
  </w:num>
  <w:num w:numId="17">
    <w:abstractNumId w:val="0"/>
  </w:num>
  <w:num w:numId="18">
    <w:abstractNumId w:val="11"/>
  </w:num>
  <w:num w:numId="19">
    <w:abstractNumId w:val="21"/>
  </w:num>
  <w:num w:numId="20">
    <w:abstractNumId w:val="21"/>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18"/>
  </w:num>
  <w:num w:numId="22">
    <w:abstractNumId w:val="25"/>
  </w:num>
  <w:num w:numId="23">
    <w:abstractNumId w:val="14"/>
  </w:num>
  <w:num w:numId="24">
    <w:abstractNumId w:val="24"/>
  </w:num>
  <w:num w:numId="25">
    <w:abstractNumId w:val="27"/>
  </w:num>
  <w:num w:numId="26">
    <w:abstractNumId w:val="9"/>
  </w:num>
  <w:num w:numId="27">
    <w:abstractNumId w:val="17"/>
  </w:num>
  <w:num w:numId="28">
    <w:abstractNumId w:val="8"/>
  </w:num>
  <w:num w:numId="29">
    <w:abstractNumId w:val="22"/>
  </w:num>
  <w:num w:numId="30">
    <w:abstractNumId w:val="4"/>
  </w:num>
  <w:num w:numId="31">
    <w:abstractNumId w:val="26"/>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B113E7"/>
    <w:rsid w:val="00055CDD"/>
    <w:rsid w:val="000D3CB3"/>
    <w:rsid w:val="001A3F77"/>
    <w:rsid w:val="001A5BE1"/>
    <w:rsid w:val="0021541F"/>
    <w:rsid w:val="00282004"/>
    <w:rsid w:val="00290522"/>
    <w:rsid w:val="002A5A5C"/>
    <w:rsid w:val="00312A3B"/>
    <w:rsid w:val="00325012"/>
    <w:rsid w:val="003A5147"/>
    <w:rsid w:val="003B2DEE"/>
    <w:rsid w:val="004166CE"/>
    <w:rsid w:val="004A171B"/>
    <w:rsid w:val="004A6D18"/>
    <w:rsid w:val="004E59CB"/>
    <w:rsid w:val="00526D53"/>
    <w:rsid w:val="00553317"/>
    <w:rsid w:val="00641BF0"/>
    <w:rsid w:val="00655C86"/>
    <w:rsid w:val="00665F3F"/>
    <w:rsid w:val="006812F9"/>
    <w:rsid w:val="00830608"/>
    <w:rsid w:val="00834B50"/>
    <w:rsid w:val="00841C62"/>
    <w:rsid w:val="00862F9B"/>
    <w:rsid w:val="00884A6C"/>
    <w:rsid w:val="009566AF"/>
    <w:rsid w:val="0098095E"/>
    <w:rsid w:val="009D159F"/>
    <w:rsid w:val="009F26C9"/>
    <w:rsid w:val="00A0523C"/>
    <w:rsid w:val="00AE5569"/>
    <w:rsid w:val="00AF1208"/>
    <w:rsid w:val="00B10629"/>
    <w:rsid w:val="00B113E7"/>
    <w:rsid w:val="00BA183E"/>
    <w:rsid w:val="00C81250"/>
    <w:rsid w:val="00E003D4"/>
    <w:rsid w:val="00E3061E"/>
    <w:rsid w:val="00E5464F"/>
    <w:rsid w:val="00E97ABF"/>
    <w:rsid w:val="00F54867"/>
    <w:rsid w:val="00F74636"/>
    <w:rsid w:val="00F74C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E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113E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B113E7"/>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B113E7"/>
    <w:pPr>
      <w:spacing w:before="240" w:after="60"/>
      <w:outlineLvl w:val="4"/>
    </w:pPr>
    <w:rPr>
      <w:b/>
      <w:bCs/>
      <w:i/>
      <w:iCs/>
      <w:sz w:val="26"/>
      <w:szCs w:val="26"/>
    </w:rPr>
  </w:style>
  <w:style w:type="paragraph" w:styleId="Ttulo6">
    <w:name w:val="heading 6"/>
    <w:basedOn w:val="Normal"/>
    <w:next w:val="Normal"/>
    <w:link w:val="Ttulo6Car"/>
    <w:qFormat/>
    <w:rsid w:val="00B113E7"/>
    <w:pPr>
      <w:keepNext/>
      <w:jc w:val="center"/>
      <w:outlineLvl w:val="5"/>
    </w:pPr>
    <w:rPr>
      <w:rFonts w:ascii="Arial" w:hAnsi="Arial"/>
      <w:b/>
      <w:szCs w:val="20"/>
      <w:lang w:val="es-MX"/>
    </w:rPr>
  </w:style>
  <w:style w:type="paragraph" w:styleId="Ttulo9">
    <w:name w:val="heading 9"/>
    <w:basedOn w:val="Normal"/>
    <w:next w:val="Normal"/>
    <w:link w:val="Ttulo9Car"/>
    <w:qFormat/>
    <w:rsid w:val="00B113E7"/>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13E7"/>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B113E7"/>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B113E7"/>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113E7"/>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B113E7"/>
    <w:rPr>
      <w:rFonts w:ascii="Arial" w:eastAsia="Times New Roman" w:hAnsi="Arial" w:cs="Arial"/>
      <w:sz w:val="24"/>
      <w:szCs w:val="24"/>
      <w:lang w:val="es-ES" w:eastAsia="es-ES"/>
    </w:rPr>
  </w:style>
  <w:style w:type="paragraph" w:styleId="Textoindependiente">
    <w:name w:val="Body Text"/>
    <w:basedOn w:val="Normal"/>
    <w:link w:val="TextoindependienteCar"/>
    <w:rsid w:val="00B113E7"/>
    <w:pPr>
      <w:jc w:val="both"/>
    </w:pPr>
    <w:rPr>
      <w:b/>
      <w:bCs/>
      <w:sz w:val="36"/>
      <w:lang w:val="es-MX"/>
    </w:rPr>
  </w:style>
  <w:style w:type="character" w:customStyle="1" w:styleId="TextoindependienteCar">
    <w:name w:val="Texto independiente Car"/>
    <w:basedOn w:val="Fuentedeprrafopredeter"/>
    <w:link w:val="Textoindependiente"/>
    <w:rsid w:val="00B113E7"/>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B113E7"/>
    <w:pPr>
      <w:jc w:val="both"/>
    </w:pPr>
    <w:rPr>
      <w:rFonts w:ascii="Arial" w:hAnsi="Arial" w:cs="Arial"/>
      <w:lang w:val="es-MX"/>
    </w:rPr>
  </w:style>
  <w:style w:type="character" w:customStyle="1" w:styleId="Textoindependiente2Car">
    <w:name w:val="Texto independiente 2 Car"/>
    <w:basedOn w:val="Fuentedeprrafopredeter"/>
    <w:link w:val="Textoindependiente2"/>
    <w:rsid w:val="00B113E7"/>
    <w:rPr>
      <w:rFonts w:ascii="Arial" w:eastAsia="Times New Roman" w:hAnsi="Arial" w:cs="Arial"/>
      <w:sz w:val="24"/>
      <w:szCs w:val="24"/>
      <w:lang w:eastAsia="es-ES"/>
    </w:rPr>
  </w:style>
  <w:style w:type="paragraph" w:styleId="Textoindependiente3">
    <w:name w:val="Body Text 3"/>
    <w:basedOn w:val="Normal"/>
    <w:link w:val="Textoindependiente3Car"/>
    <w:rsid w:val="00B113E7"/>
    <w:pPr>
      <w:ind w:right="44"/>
      <w:jc w:val="both"/>
    </w:pPr>
    <w:rPr>
      <w:rFonts w:ascii="Arial" w:hAnsi="Arial" w:cs="Arial"/>
    </w:rPr>
  </w:style>
  <w:style w:type="character" w:customStyle="1" w:styleId="Textoindependiente3Car">
    <w:name w:val="Texto independiente 3 Car"/>
    <w:basedOn w:val="Fuentedeprrafopredeter"/>
    <w:link w:val="Textoindependiente3"/>
    <w:rsid w:val="00B113E7"/>
    <w:rPr>
      <w:rFonts w:ascii="Arial" w:eastAsia="Times New Roman" w:hAnsi="Arial" w:cs="Arial"/>
      <w:sz w:val="24"/>
      <w:szCs w:val="24"/>
      <w:lang w:val="es-ES" w:eastAsia="es-ES"/>
    </w:rPr>
  </w:style>
  <w:style w:type="paragraph" w:styleId="NormalWeb">
    <w:name w:val="Normal (Web)"/>
    <w:basedOn w:val="Normal"/>
    <w:rsid w:val="00B113E7"/>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B113E7"/>
    <w:pPr>
      <w:tabs>
        <w:tab w:val="num" w:pos="360"/>
      </w:tabs>
      <w:ind w:left="360" w:hanging="360"/>
    </w:pPr>
  </w:style>
  <w:style w:type="paragraph" w:customStyle="1" w:styleId="Estilo">
    <w:name w:val="Estilo"/>
    <w:rsid w:val="00B113E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B113E7"/>
    <w:pPr>
      <w:tabs>
        <w:tab w:val="center" w:pos="4252"/>
        <w:tab w:val="right" w:pos="8504"/>
      </w:tabs>
    </w:pPr>
  </w:style>
  <w:style w:type="character" w:customStyle="1" w:styleId="PiedepginaCar">
    <w:name w:val="Pie de página Car"/>
    <w:basedOn w:val="Fuentedeprrafopredeter"/>
    <w:link w:val="Piedepgina"/>
    <w:uiPriority w:val="99"/>
    <w:rsid w:val="00B113E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113E7"/>
    <w:rPr>
      <w:rFonts w:cs="Times New Roman"/>
    </w:rPr>
  </w:style>
  <w:style w:type="paragraph" w:styleId="Encabezado">
    <w:name w:val="header"/>
    <w:basedOn w:val="Normal"/>
    <w:link w:val="EncabezadoCar"/>
    <w:uiPriority w:val="99"/>
    <w:rsid w:val="00B113E7"/>
    <w:pPr>
      <w:tabs>
        <w:tab w:val="center" w:pos="4252"/>
        <w:tab w:val="right" w:pos="8504"/>
      </w:tabs>
    </w:pPr>
  </w:style>
  <w:style w:type="character" w:customStyle="1" w:styleId="EncabezadoCar">
    <w:name w:val="Encabezado Car"/>
    <w:basedOn w:val="Fuentedeprrafopredeter"/>
    <w:link w:val="Encabezado"/>
    <w:uiPriority w:val="99"/>
    <w:rsid w:val="00B113E7"/>
    <w:rPr>
      <w:rFonts w:ascii="Times New Roman" w:eastAsia="Times New Roman" w:hAnsi="Times New Roman" w:cs="Times New Roman"/>
      <w:sz w:val="24"/>
      <w:szCs w:val="24"/>
      <w:lang w:val="es-ES" w:eastAsia="es-ES"/>
    </w:rPr>
  </w:style>
  <w:style w:type="character" w:styleId="Hipervnculo">
    <w:name w:val="Hyperlink"/>
    <w:basedOn w:val="Fuentedeprrafopredeter"/>
    <w:rsid w:val="00B113E7"/>
    <w:rPr>
      <w:rFonts w:cs="Times New Roman"/>
      <w:color w:val="0000FF"/>
      <w:u w:val="single"/>
    </w:rPr>
  </w:style>
  <w:style w:type="character" w:customStyle="1" w:styleId="TextonotaalfinalCar">
    <w:name w:val="Texto nota al final Car"/>
    <w:basedOn w:val="Fuentedeprrafopredeter"/>
    <w:link w:val="Textonotaalfinal"/>
    <w:semiHidden/>
    <w:rsid w:val="00B113E7"/>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B113E7"/>
    <w:rPr>
      <w:sz w:val="20"/>
      <w:szCs w:val="20"/>
    </w:rPr>
  </w:style>
  <w:style w:type="paragraph" w:styleId="Sangradetextonormal">
    <w:name w:val="Body Text Indent"/>
    <w:basedOn w:val="Normal"/>
    <w:link w:val="SangradetextonormalCar"/>
    <w:rsid w:val="00B113E7"/>
    <w:pPr>
      <w:spacing w:after="120"/>
      <w:ind w:left="283"/>
    </w:pPr>
  </w:style>
  <w:style w:type="character" w:customStyle="1" w:styleId="SangradetextonormalCar">
    <w:name w:val="Sangría de texto normal Car"/>
    <w:basedOn w:val="Fuentedeprrafopredeter"/>
    <w:link w:val="Sangradetextonormal"/>
    <w:rsid w:val="00B113E7"/>
    <w:rPr>
      <w:rFonts w:ascii="Times New Roman" w:eastAsia="Times New Roman" w:hAnsi="Times New Roman" w:cs="Times New Roman"/>
      <w:sz w:val="24"/>
      <w:szCs w:val="24"/>
      <w:lang w:val="es-ES" w:eastAsia="es-ES"/>
    </w:rPr>
  </w:style>
  <w:style w:type="paragraph" w:styleId="Textodebloque">
    <w:name w:val="Block Text"/>
    <w:basedOn w:val="Normal"/>
    <w:rsid w:val="00B113E7"/>
    <w:pPr>
      <w:ind w:left="1080" w:right="1124"/>
    </w:pPr>
    <w:rPr>
      <w:sz w:val="22"/>
    </w:rPr>
  </w:style>
  <w:style w:type="paragraph" w:customStyle="1" w:styleId="Pa5">
    <w:name w:val="Pa5"/>
    <w:basedOn w:val="Normal"/>
    <w:next w:val="Normal"/>
    <w:rsid w:val="00B113E7"/>
    <w:pPr>
      <w:autoSpaceDE w:val="0"/>
      <w:autoSpaceDN w:val="0"/>
      <w:adjustRightInd w:val="0"/>
      <w:spacing w:line="221" w:lineRule="atLeast"/>
    </w:pPr>
    <w:rPr>
      <w:rFonts w:ascii="Arial" w:hAnsi="Arial"/>
    </w:rPr>
  </w:style>
  <w:style w:type="paragraph" w:customStyle="1" w:styleId="Pa7">
    <w:name w:val="Pa7"/>
    <w:basedOn w:val="Normal"/>
    <w:next w:val="Normal"/>
    <w:rsid w:val="00B113E7"/>
    <w:pPr>
      <w:autoSpaceDE w:val="0"/>
      <w:autoSpaceDN w:val="0"/>
      <w:adjustRightInd w:val="0"/>
      <w:spacing w:line="221" w:lineRule="atLeast"/>
    </w:pPr>
    <w:rPr>
      <w:rFonts w:ascii="Arial" w:hAnsi="Arial"/>
    </w:rPr>
  </w:style>
  <w:style w:type="character" w:customStyle="1" w:styleId="A4">
    <w:name w:val="A4"/>
    <w:rsid w:val="00B113E7"/>
    <w:rPr>
      <w:rFonts w:cs="Arial"/>
      <w:i/>
      <w:iCs/>
      <w:color w:val="000000"/>
      <w:sz w:val="22"/>
      <w:szCs w:val="22"/>
    </w:rPr>
  </w:style>
  <w:style w:type="paragraph" w:customStyle="1" w:styleId="Default">
    <w:name w:val="Default"/>
    <w:rsid w:val="00B113E7"/>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B113E7"/>
    <w:pPr>
      <w:jc w:val="center"/>
    </w:pPr>
    <w:rPr>
      <w:b/>
      <w:bCs/>
    </w:rPr>
  </w:style>
  <w:style w:type="character" w:customStyle="1" w:styleId="TtuloCar">
    <w:name w:val="Título Car"/>
    <w:basedOn w:val="Fuentedeprrafopredeter"/>
    <w:link w:val="Ttulo"/>
    <w:rsid w:val="00B113E7"/>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B113E7"/>
  </w:style>
  <w:style w:type="character" w:customStyle="1" w:styleId="TextodegloboCar">
    <w:name w:val="Texto de globo Car"/>
    <w:basedOn w:val="Fuentedeprrafopredeter"/>
    <w:link w:val="Textodeglobo"/>
    <w:uiPriority w:val="99"/>
    <w:semiHidden/>
    <w:rsid w:val="00B113E7"/>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B113E7"/>
    <w:rPr>
      <w:rFonts w:ascii="Tahoma" w:hAnsi="Tahoma" w:cs="Tahoma"/>
      <w:sz w:val="16"/>
      <w:szCs w:val="16"/>
    </w:rPr>
  </w:style>
  <w:style w:type="paragraph" w:styleId="Prrafodelista">
    <w:name w:val="List Paragraph"/>
    <w:basedOn w:val="Normal"/>
    <w:uiPriority w:val="34"/>
    <w:qFormat/>
    <w:rsid w:val="00B113E7"/>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B113E7"/>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B113E7"/>
    <w:rPr>
      <w:rFonts w:ascii="Bookman Old Style" w:hAnsi="Bookman Old Style"/>
    </w:rPr>
  </w:style>
  <w:style w:type="character" w:customStyle="1" w:styleId="TextonotapieCar">
    <w:name w:val="Texto nota pie Car"/>
    <w:basedOn w:val="Fuentedeprrafopredeter"/>
    <w:link w:val="Textonotapie"/>
    <w:rsid w:val="00B113E7"/>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B113E7"/>
    <w:rPr>
      <w:rFonts w:ascii="Courier New" w:hAnsi="Courier New" w:cs="Courier New"/>
      <w:sz w:val="20"/>
      <w:szCs w:val="20"/>
    </w:rPr>
  </w:style>
  <w:style w:type="character" w:customStyle="1" w:styleId="TextosinformatoCar">
    <w:name w:val="Texto sin formato Car"/>
    <w:basedOn w:val="Fuentedeprrafopredeter"/>
    <w:link w:val="Textosinformato"/>
    <w:rsid w:val="00B113E7"/>
    <w:rPr>
      <w:rFonts w:ascii="Courier New" w:eastAsia="Times New Roman" w:hAnsi="Courier New" w:cs="Courier New"/>
      <w:sz w:val="20"/>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B113E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113E7"/>
    <w:pPr>
      <w:spacing w:after="120" w:line="480" w:lineRule="auto"/>
      <w:ind w:left="283"/>
    </w:pPr>
  </w:style>
  <w:style w:type="character" w:styleId="Textoennegrita">
    <w:name w:val="Strong"/>
    <w:basedOn w:val="Fuentedeprrafopredeter"/>
    <w:uiPriority w:val="22"/>
    <w:qFormat/>
    <w:rsid w:val="00B113E7"/>
    <w:rPr>
      <w:b/>
      <w:bCs/>
    </w:rPr>
  </w:style>
</w:styles>
</file>

<file path=word/webSettings.xml><?xml version="1.0" encoding="utf-8"?>
<w:webSettings xmlns:r="http://schemas.openxmlformats.org/officeDocument/2006/relationships" xmlns:w="http://schemas.openxmlformats.org/wordprocessingml/2006/main">
  <w:divs>
    <w:div w:id="10052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2146</Words>
  <Characters>11808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12</cp:revision>
  <cp:lastPrinted>2013-08-19T18:41:00Z</cp:lastPrinted>
  <dcterms:created xsi:type="dcterms:W3CDTF">2013-08-13T15:30:00Z</dcterms:created>
  <dcterms:modified xsi:type="dcterms:W3CDTF">2013-08-22T19:14:00Z</dcterms:modified>
</cp:coreProperties>
</file>