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2A" w:rsidRPr="00032EA4" w:rsidRDefault="000E7844" w:rsidP="0075082A">
      <w:pPr>
        <w:jc w:val="center"/>
        <w:rPr>
          <w:rFonts w:ascii="Arial" w:hAnsi="Arial" w:cs="Arial"/>
          <w:b/>
          <w:color w:val="424342"/>
          <w:sz w:val="24"/>
          <w:szCs w:val="24"/>
        </w:rPr>
      </w:pPr>
      <w:r w:rsidRPr="00032EA4">
        <w:rPr>
          <w:rFonts w:ascii="Arial" w:hAnsi="Arial" w:cs="Arial"/>
          <w:b/>
          <w:color w:val="424342"/>
          <w:sz w:val="24"/>
          <w:szCs w:val="24"/>
        </w:rPr>
        <w:t>LINEAMIENTOS PARA EL FUNCIONAMIENTO DEL GRUPO INTERDISCIPLINARIO PARA LA VALORACIÓN Y DISPOSICIÓN DOCUMENTAL DEL ARCHIVO DEL INSTITUTO.</w:t>
      </w:r>
    </w:p>
    <w:p w:rsidR="002320B8" w:rsidRDefault="003729AA" w:rsidP="002320B8">
      <w:pPr>
        <w:jc w:val="both"/>
        <w:rPr>
          <w:rFonts w:ascii="Arial" w:hAnsi="Arial" w:cs="Arial"/>
          <w:sz w:val="24"/>
          <w:szCs w:val="24"/>
        </w:rPr>
      </w:pPr>
      <w:r w:rsidRPr="000E7844">
        <w:rPr>
          <w:rFonts w:ascii="Arial" w:hAnsi="Arial" w:cs="Arial"/>
          <w:b/>
          <w:color w:val="424342"/>
          <w:sz w:val="24"/>
          <w:szCs w:val="24"/>
        </w:rPr>
        <w:t>Primero.-</w:t>
      </w:r>
      <w:r>
        <w:rPr>
          <w:rFonts w:ascii="Arial" w:hAnsi="Arial" w:cs="Arial"/>
          <w:color w:val="424342"/>
          <w:sz w:val="24"/>
          <w:szCs w:val="24"/>
        </w:rPr>
        <w:t xml:space="preserve"> </w:t>
      </w:r>
      <w:r w:rsidR="002320B8">
        <w:rPr>
          <w:rFonts w:ascii="Arial" w:hAnsi="Arial" w:cs="Arial"/>
          <w:sz w:val="24"/>
          <w:szCs w:val="24"/>
        </w:rPr>
        <w:t>Los presentes Lineamientos tienen la finalidad de regular el funcionamiento del Grupo Interdisciplinario para la valoración y disposición documental del Archivo del Instituto para la creación de los Archivos de Concentración e Histórico que formarán parte del Sistema Institucional de Archivos del Instituto.</w:t>
      </w:r>
    </w:p>
    <w:p w:rsidR="003729AA" w:rsidRPr="003729AA" w:rsidRDefault="002320B8" w:rsidP="003729AA">
      <w:pPr>
        <w:jc w:val="both"/>
        <w:rPr>
          <w:rFonts w:ascii="Arial" w:hAnsi="Arial" w:cs="Arial"/>
          <w:sz w:val="24"/>
          <w:szCs w:val="24"/>
        </w:rPr>
      </w:pPr>
      <w:r w:rsidRPr="000E7844">
        <w:rPr>
          <w:rFonts w:ascii="Arial" w:hAnsi="Arial" w:cs="Arial"/>
          <w:b/>
          <w:color w:val="424342"/>
          <w:sz w:val="24"/>
          <w:szCs w:val="24"/>
        </w:rPr>
        <w:t>Segundo.-</w:t>
      </w:r>
      <w:r>
        <w:rPr>
          <w:rFonts w:ascii="Arial" w:hAnsi="Arial" w:cs="Arial"/>
          <w:color w:val="424342"/>
          <w:sz w:val="24"/>
          <w:szCs w:val="24"/>
        </w:rPr>
        <w:t xml:space="preserve"> </w:t>
      </w:r>
      <w:r w:rsidR="003729AA">
        <w:rPr>
          <w:rFonts w:ascii="Arial" w:hAnsi="Arial" w:cs="Arial"/>
          <w:color w:val="424342"/>
          <w:sz w:val="24"/>
          <w:szCs w:val="24"/>
        </w:rPr>
        <w:t xml:space="preserve">Se integra el Grupo Interdisciplinario para la valoración y disposición documental del Archivo del Instituto </w:t>
      </w:r>
      <w:r w:rsidR="003729AA" w:rsidRPr="00BA0D37">
        <w:rPr>
          <w:rFonts w:ascii="Arial" w:hAnsi="Arial" w:cs="Arial"/>
          <w:sz w:val="24"/>
          <w:szCs w:val="24"/>
        </w:rPr>
        <w:t xml:space="preserve">como órgano responsable de analizar, valorar y dictaminar </w:t>
      </w:r>
      <w:r w:rsidR="003729AA">
        <w:rPr>
          <w:rFonts w:ascii="Arial" w:hAnsi="Arial" w:cs="Arial"/>
          <w:sz w:val="24"/>
          <w:szCs w:val="24"/>
        </w:rPr>
        <w:t>la disposición documental de los expedientes de los archivos en trámite y general</w:t>
      </w:r>
      <w:r w:rsidR="00EB279E">
        <w:rPr>
          <w:rFonts w:ascii="Arial" w:hAnsi="Arial" w:cs="Arial"/>
          <w:sz w:val="24"/>
          <w:szCs w:val="24"/>
        </w:rPr>
        <w:t xml:space="preserve">, independientemente del </w:t>
      </w:r>
      <w:r w:rsidR="002F456F">
        <w:rPr>
          <w:rFonts w:ascii="Arial" w:hAnsi="Arial" w:cs="Arial"/>
          <w:sz w:val="24"/>
          <w:szCs w:val="24"/>
        </w:rPr>
        <w:t xml:space="preserve">tipo de </w:t>
      </w:r>
      <w:r w:rsidR="00EB279E">
        <w:rPr>
          <w:rFonts w:ascii="Arial" w:hAnsi="Arial" w:cs="Arial"/>
          <w:sz w:val="24"/>
          <w:szCs w:val="24"/>
        </w:rPr>
        <w:t>soporte</w:t>
      </w:r>
      <w:r w:rsidR="002F456F">
        <w:rPr>
          <w:rFonts w:ascii="Arial" w:hAnsi="Arial" w:cs="Arial"/>
          <w:sz w:val="24"/>
          <w:szCs w:val="24"/>
        </w:rPr>
        <w:t xml:space="preserve"> en que se encuentren,</w:t>
      </w:r>
      <w:r w:rsidR="003729AA">
        <w:rPr>
          <w:rFonts w:ascii="Arial" w:hAnsi="Arial" w:cs="Arial"/>
          <w:sz w:val="24"/>
          <w:szCs w:val="24"/>
        </w:rPr>
        <w:t xml:space="preserve"> para realizar las transferencias con base en los principios generales de la archivística o proceder a la baja en los casos en que hayan prescrito sus valores primarios: administrativos, legales, fiscales y contables; así como dictaminar, en su caso, la conservación en Archivo Histórico aquellos que puedan tener</w:t>
      </w:r>
      <w:r w:rsidR="003729AA" w:rsidRPr="003729AA">
        <w:rPr>
          <w:rFonts w:ascii="Arial" w:hAnsi="Arial" w:cs="Arial"/>
          <w:sz w:val="24"/>
          <w:szCs w:val="24"/>
        </w:rPr>
        <w:t xml:space="preserve"> utilidad para la investigación </w:t>
      </w:r>
      <w:r w:rsidR="003729AA">
        <w:rPr>
          <w:rFonts w:ascii="Arial" w:hAnsi="Arial" w:cs="Arial"/>
          <w:sz w:val="24"/>
          <w:szCs w:val="24"/>
        </w:rPr>
        <w:t xml:space="preserve">académica, que den </w:t>
      </w:r>
      <w:r w:rsidR="003729AA" w:rsidRPr="003729AA">
        <w:rPr>
          <w:rFonts w:ascii="Arial" w:hAnsi="Arial" w:cs="Arial"/>
          <w:sz w:val="24"/>
          <w:szCs w:val="24"/>
        </w:rPr>
        <w:t>evidencia del origen, evolución y principales cambios que haya</w:t>
      </w:r>
      <w:r w:rsidR="003729AA">
        <w:rPr>
          <w:rFonts w:ascii="Arial" w:hAnsi="Arial" w:cs="Arial"/>
          <w:sz w:val="24"/>
          <w:szCs w:val="24"/>
        </w:rPr>
        <w:t xml:space="preserve"> </w:t>
      </w:r>
      <w:r w:rsidR="003729AA" w:rsidRPr="003729AA">
        <w:rPr>
          <w:rFonts w:ascii="Arial" w:hAnsi="Arial" w:cs="Arial"/>
          <w:sz w:val="24"/>
          <w:szCs w:val="24"/>
        </w:rPr>
        <w:t xml:space="preserve">tenido el </w:t>
      </w:r>
      <w:r w:rsidR="003729AA">
        <w:rPr>
          <w:rFonts w:ascii="Arial" w:hAnsi="Arial" w:cs="Arial"/>
          <w:sz w:val="24"/>
          <w:szCs w:val="24"/>
        </w:rPr>
        <w:t>Instituto</w:t>
      </w:r>
      <w:r w:rsidR="003729AA" w:rsidRPr="003729AA">
        <w:rPr>
          <w:rFonts w:ascii="Arial" w:hAnsi="Arial" w:cs="Arial"/>
          <w:sz w:val="24"/>
          <w:szCs w:val="24"/>
        </w:rPr>
        <w:t>, o</w:t>
      </w:r>
      <w:r w:rsidR="003729AA">
        <w:rPr>
          <w:rFonts w:ascii="Arial" w:hAnsi="Arial" w:cs="Arial"/>
          <w:sz w:val="24"/>
          <w:szCs w:val="24"/>
        </w:rPr>
        <w:t xml:space="preserve"> sea</w:t>
      </w:r>
      <w:r w:rsidR="003729AA" w:rsidRPr="003729AA">
        <w:rPr>
          <w:rFonts w:ascii="Arial" w:hAnsi="Arial" w:cs="Arial"/>
          <w:sz w:val="24"/>
          <w:szCs w:val="24"/>
        </w:rPr>
        <w:t xml:space="preserve"> testimonio </w:t>
      </w:r>
      <w:r w:rsidR="003729AA">
        <w:rPr>
          <w:rFonts w:ascii="Arial" w:hAnsi="Arial" w:cs="Arial"/>
          <w:sz w:val="24"/>
          <w:szCs w:val="24"/>
        </w:rPr>
        <w:t xml:space="preserve">trascendente </w:t>
      </w:r>
      <w:r w:rsidR="003729AA" w:rsidRPr="003729AA">
        <w:rPr>
          <w:rFonts w:ascii="Arial" w:hAnsi="Arial" w:cs="Arial"/>
          <w:sz w:val="24"/>
          <w:szCs w:val="24"/>
        </w:rPr>
        <w:t xml:space="preserve">de </w:t>
      </w:r>
      <w:r w:rsidR="003729AA">
        <w:rPr>
          <w:rFonts w:ascii="Arial" w:hAnsi="Arial" w:cs="Arial"/>
          <w:sz w:val="24"/>
          <w:szCs w:val="24"/>
        </w:rPr>
        <w:t>su</w:t>
      </w:r>
      <w:r w:rsidR="003729AA" w:rsidRPr="003729AA">
        <w:rPr>
          <w:rFonts w:ascii="Arial" w:hAnsi="Arial" w:cs="Arial"/>
          <w:sz w:val="24"/>
          <w:szCs w:val="24"/>
        </w:rPr>
        <w:t>s principales programas, proyectos</w:t>
      </w:r>
      <w:r w:rsidR="003729AA">
        <w:rPr>
          <w:rFonts w:ascii="Arial" w:hAnsi="Arial" w:cs="Arial"/>
          <w:sz w:val="24"/>
          <w:szCs w:val="24"/>
        </w:rPr>
        <w:t xml:space="preserve">, </w:t>
      </w:r>
      <w:r w:rsidR="003729AA" w:rsidRPr="003729AA">
        <w:rPr>
          <w:rFonts w:ascii="Arial" w:hAnsi="Arial" w:cs="Arial"/>
          <w:sz w:val="24"/>
          <w:szCs w:val="24"/>
        </w:rPr>
        <w:t>eventos</w:t>
      </w:r>
      <w:r w:rsidR="003729AA">
        <w:rPr>
          <w:rFonts w:ascii="Arial" w:hAnsi="Arial" w:cs="Arial"/>
          <w:sz w:val="24"/>
          <w:szCs w:val="24"/>
        </w:rPr>
        <w:t xml:space="preserve"> y normas.</w:t>
      </w:r>
    </w:p>
    <w:p w:rsidR="0075082A" w:rsidRDefault="002320B8" w:rsidP="003729AA">
      <w:pPr>
        <w:jc w:val="both"/>
        <w:rPr>
          <w:rFonts w:ascii="Arial" w:hAnsi="Arial" w:cs="Arial"/>
          <w:sz w:val="24"/>
          <w:szCs w:val="24"/>
        </w:rPr>
      </w:pPr>
      <w:r w:rsidRPr="00032EA4">
        <w:rPr>
          <w:rFonts w:ascii="Arial" w:hAnsi="Arial" w:cs="Arial"/>
          <w:b/>
          <w:sz w:val="24"/>
          <w:szCs w:val="24"/>
        </w:rPr>
        <w:t>Tercero</w:t>
      </w:r>
      <w:r w:rsidR="003729AA" w:rsidRPr="00032EA4">
        <w:rPr>
          <w:rFonts w:ascii="Arial" w:hAnsi="Arial" w:cs="Arial"/>
          <w:b/>
          <w:sz w:val="24"/>
          <w:szCs w:val="24"/>
        </w:rPr>
        <w:t>.-</w:t>
      </w:r>
      <w:r w:rsidR="003729AA" w:rsidRPr="00032EA4">
        <w:rPr>
          <w:rFonts w:ascii="Arial" w:hAnsi="Arial" w:cs="Arial"/>
          <w:sz w:val="24"/>
          <w:szCs w:val="24"/>
        </w:rPr>
        <w:t xml:space="preserve"> El Grupo Interdisciplinario se integra por l</w:t>
      </w:r>
      <w:r w:rsidR="00EB5BA4" w:rsidRPr="00032EA4">
        <w:rPr>
          <w:rFonts w:ascii="Arial" w:hAnsi="Arial" w:cs="Arial"/>
          <w:sz w:val="24"/>
          <w:szCs w:val="24"/>
        </w:rPr>
        <w:t>as y l</w:t>
      </w:r>
      <w:r w:rsidR="003729AA" w:rsidRPr="00032EA4">
        <w:rPr>
          <w:rFonts w:ascii="Arial" w:hAnsi="Arial" w:cs="Arial"/>
          <w:sz w:val="24"/>
          <w:szCs w:val="24"/>
        </w:rPr>
        <w:t>os titulares de cada una de las Coordinaciones</w:t>
      </w:r>
      <w:r w:rsidR="00EB5BA4" w:rsidRPr="00032EA4">
        <w:rPr>
          <w:rFonts w:ascii="Arial" w:hAnsi="Arial" w:cs="Arial"/>
          <w:sz w:val="24"/>
          <w:szCs w:val="24"/>
        </w:rPr>
        <w:t>, Áreas</w:t>
      </w:r>
      <w:r w:rsidR="003729AA" w:rsidRPr="00032EA4">
        <w:rPr>
          <w:rFonts w:ascii="Arial" w:hAnsi="Arial" w:cs="Arial"/>
          <w:sz w:val="24"/>
          <w:szCs w:val="24"/>
        </w:rPr>
        <w:t xml:space="preserve"> y Unidades Técnicas del Instituto, </w:t>
      </w:r>
      <w:r w:rsidR="002B149A" w:rsidRPr="00032EA4">
        <w:rPr>
          <w:rFonts w:ascii="Arial" w:hAnsi="Arial" w:cs="Arial"/>
          <w:sz w:val="24"/>
          <w:szCs w:val="24"/>
        </w:rPr>
        <w:t>la o el titular</w:t>
      </w:r>
      <w:r w:rsidR="003729AA" w:rsidRPr="00032EA4">
        <w:rPr>
          <w:rFonts w:ascii="Arial" w:hAnsi="Arial" w:cs="Arial"/>
          <w:sz w:val="24"/>
          <w:szCs w:val="24"/>
        </w:rPr>
        <w:t xml:space="preserve"> de la Secretaría Ejecutiva</w:t>
      </w:r>
      <w:r w:rsidR="002B149A" w:rsidRPr="00032EA4">
        <w:rPr>
          <w:rFonts w:ascii="Arial" w:hAnsi="Arial" w:cs="Arial"/>
          <w:sz w:val="24"/>
          <w:szCs w:val="24"/>
        </w:rPr>
        <w:t xml:space="preserve"> y</w:t>
      </w:r>
      <w:r w:rsidR="008A12FD" w:rsidRPr="00032EA4">
        <w:rPr>
          <w:rFonts w:ascii="Arial" w:hAnsi="Arial" w:cs="Arial"/>
          <w:sz w:val="24"/>
          <w:szCs w:val="24"/>
        </w:rPr>
        <w:t xml:space="preserve"> del Órgano</w:t>
      </w:r>
      <w:r w:rsidR="00EB5BA4" w:rsidRPr="00032EA4">
        <w:rPr>
          <w:rFonts w:ascii="Arial" w:hAnsi="Arial" w:cs="Arial"/>
          <w:sz w:val="24"/>
          <w:szCs w:val="24"/>
        </w:rPr>
        <w:t xml:space="preserve"> Interno de Control</w:t>
      </w:r>
      <w:r w:rsidR="008A12FD" w:rsidRPr="00032EA4">
        <w:rPr>
          <w:rFonts w:ascii="Arial" w:hAnsi="Arial" w:cs="Arial"/>
          <w:sz w:val="24"/>
          <w:szCs w:val="24"/>
        </w:rPr>
        <w:t xml:space="preserve">, </w:t>
      </w:r>
      <w:r w:rsidR="002B149A" w:rsidRPr="00032EA4">
        <w:rPr>
          <w:rFonts w:ascii="Arial" w:hAnsi="Arial" w:cs="Arial"/>
          <w:sz w:val="24"/>
          <w:szCs w:val="24"/>
        </w:rPr>
        <w:t>por una Consejera o Consejero, así como por</w:t>
      </w:r>
      <w:r w:rsidR="00032EA4">
        <w:rPr>
          <w:rFonts w:ascii="Arial" w:hAnsi="Arial" w:cs="Arial"/>
          <w:sz w:val="24"/>
          <w:szCs w:val="24"/>
        </w:rPr>
        <w:t xml:space="preserve"> </w:t>
      </w:r>
      <w:r w:rsidR="00EB5BA4" w:rsidRPr="00032EA4">
        <w:rPr>
          <w:rFonts w:ascii="Arial" w:hAnsi="Arial" w:cs="Arial"/>
          <w:sz w:val="24"/>
          <w:szCs w:val="24"/>
        </w:rPr>
        <w:t>la o</w:t>
      </w:r>
      <w:r w:rsidR="002B149A" w:rsidRPr="00032EA4">
        <w:rPr>
          <w:rFonts w:ascii="Arial" w:hAnsi="Arial" w:cs="Arial"/>
          <w:sz w:val="24"/>
          <w:szCs w:val="24"/>
        </w:rPr>
        <w:t xml:space="preserve"> </w:t>
      </w:r>
      <w:r w:rsidR="003729AA" w:rsidRPr="00032EA4">
        <w:rPr>
          <w:rFonts w:ascii="Arial" w:hAnsi="Arial" w:cs="Arial"/>
          <w:sz w:val="24"/>
          <w:szCs w:val="24"/>
        </w:rPr>
        <w:t>el Responsable de</w:t>
      </w:r>
      <w:r w:rsidR="008A12FD" w:rsidRPr="00032EA4">
        <w:rPr>
          <w:rFonts w:ascii="Arial" w:hAnsi="Arial" w:cs="Arial"/>
          <w:sz w:val="24"/>
          <w:szCs w:val="24"/>
        </w:rPr>
        <w:t>l</w:t>
      </w:r>
      <w:r w:rsidR="003729AA" w:rsidRPr="00032EA4">
        <w:rPr>
          <w:rFonts w:ascii="Arial" w:hAnsi="Arial" w:cs="Arial"/>
          <w:sz w:val="24"/>
          <w:szCs w:val="24"/>
        </w:rPr>
        <w:t xml:space="preserve"> Archivo</w:t>
      </w:r>
      <w:r w:rsidR="008A12FD" w:rsidRPr="00032EA4">
        <w:rPr>
          <w:rFonts w:ascii="Arial" w:hAnsi="Arial" w:cs="Arial"/>
          <w:sz w:val="24"/>
          <w:szCs w:val="24"/>
        </w:rPr>
        <w:t xml:space="preserve"> Institucional que sea designado quien será el encargado de coordinar los trabajos del Grupo.</w:t>
      </w:r>
    </w:p>
    <w:p w:rsidR="008A12FD" w:rsidRDefault="002320B8" w:rsidP="003729AA">
      <w:pPr>
        <w:jc w:val="both"/>
        <w:rPr>
          <w:rFonts w:ascii="Arial" w:hAnsi="Arial" w:cs="Arial"/>
          <w:sz w:val="24"/>
          <w:szCs w:val="24"/>
        </w:rPr>
      </w:pPr>
      <w:r w:rsidRPr="000E7844">
        <w:rPr>
          <w:rFonts w:ascii="Arial" w:hAnsi="Arial" w:cs="Arial"/>
          <w:b/>
          <w:sz w:val="24"/>
          <w:szCs w:val="24"/>
        </w:rPr>
        <w:t>Cuarto</w:t>
      </w:r>
      <w:r w:rsidR="008A12FD" w:rsidRPr="000E7844">
        <w:rPr>
          <w:rFonts w:ascii="Arial" w:hAnsi="Arial" w:cs="Arial"/>
          <w:b/>
          <w:sz w:val="24"/>
          <w:szCs w:val="24"/>
        </w:rPr>
        <w:t>.-</w:t>
      </w:r>
      <w:r w:rsidR="008A12FD">
        <w:rPr>
          <w:rFonts w:ascii="Arial" w:hAnsi="Arial" w:cs="Arial"/>
          <w:sz w:val="24"/>
          <w:szCs w:val="24"/>
        </w:rPr>
        <w:t xml:space="preserve"> </w:t>
      </w:r>
      <w:r w:rsidR="005D06F4">
        <w:rPr>
          <w:rFonts w:ascii="Arial" w:hAnsi="Arial" w:cs="Arial"/>
          <w:sz w:val="24"/>
          <w:szCs w:val="24"/>
        </w:rPr>
        <w:t>Son atribuciones del Grupo Interdisciplinario:</w:t>
      </w:r>
    </w:p>
    <w:p w:rsidR="005D06F4" w:rsidRDefault="005D06F4" w:rsidP="003729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Establecer los procedimientos para analizar, valorar y decidir la disposición o baja documental de los expedientes del Archivo General del Instituto</w:t>
      </w:r>
      <w:r w:rsidR="000E7844">
        <w:rPr>
          <w:rFonts w:ascii="Arial" w:hAnsi="Arial" w:cs="Arial"/>
          <w:sz w:val="24"/>
          <w:szCs w:val="24"/>
        </w:rPr>
        <w:t>, independientemente del tipo de soporte que los contenga.</w:t>
      </w:r>
    </w:p>
    <w:p w:rsidR="005D06F4" w:rsidRDefault="005D06F4" w:rsidP="003729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Emitir dictámenes de valoración documental para proceder a la tran</w:t>
      </w:r>
      <w:r w:rsidR="00850A15">
        <w:rPr>
          <w:rFonts w:ascii="Arial" w:hAnsi="Arial" w:cs="Arial"/>
          <w:sz w:val="24"/>
          <w:szCs w:val="24"/>
        </w:rPr>
        <w:t>s</w:t>
      </w:r>
      <w:r w:rsidR="007B7B8C">
        <w:rPr>
          <w:rFonts w:ascii="Arial" w:hAnsi="Arial" w:cs="Arial"/>
          <w:sz w:val="24"/>
          <w:szCs w:val="24"/>
        </w:rPr>
        <w:t xml:space="preserve">ferencia </w:t>
      </w:r>
      <w:r w:rsidR="00850A15">
        <w:rPr>
          <w:rFonts w:ascii="Arial" w:hAnsi="Arial" w:cs="Arial"/>
          <w:sz w:val="24"/>
          <w:szCs w:val="24"/>
        </w:rPr>
        <w:t>primaria con la finalidad de integrar el Archivo de Concentración del Instituto; y, en su caso, emitir la declaración de reconocimiento de valores históricos de los documentos que deban resguardarse en el Archivo Histórico.</w:t>
      </w:r>
    </w:p>
    <w:p w:rsidR="00850A15" w:rsidRDefault="00850A15" w:rsidP="00850A15">
      <w:pPr>
        <w:jc w:val="both"/>
      </w:pPr>
      <w:r w:rsidRPr="00032EA4">
        <w:rPr>
          <w:rFonts w:ascii="Arial" w:hAnsi="Arial" w:cs="Arial"/>
          <w:sz w:val="24"/>
          <w:szCs w:val="24"/>
        </w:rPr>
        <w:t>c) Determinar los valores, la vigencia, los plazos de conservación y disposición documental de las series documentales que se transfie</w:t>
      </w:r>
      <w:r w:rsidR="002B149A" w:rsidRPr="00032EA4">
        <w:rPr>
          <w:rFonts w:ascii="Arial" w:hAnsi="Arial" w:cs="Arial"/>
          <w:sz w:val="24"/>
          <w:szCs w:val="24"/>
        </w:rPr>
        <w:t>ran al Archivo de Concentración, de conformidad con las disposiciones contenidas en el Manual que para los efectos de esta materia se emita en su oportunidad.</w:t>
      </w:r>
      <w:r w:rsidR="002B149A">
        <w:rPr>
          <w:rFonts w:ascii="Arial" w:hAnsi="Arial" w:cs="Arial"/>
          <w:sz w:val="24"/>
          <w:szCs w:val="24"/>
        </w:rPr>
        <w:t xml:space="preserve"> </w:t>
      </w:r>
    </w:p>
    <w:p w:rsidR="00850A15" w:rsidRDefault="00850A15" w:rsidP="003729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Emitir el Acta de Baja Documental.</w:t>
      </w:r>
    </w:p>
    <w:p w:rsidR="00850A15" w:rsidRDefault="00850A15" w:rsidP="003729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e) Remitir al Órgano de </w:t>
      </w:r>
      <w:r w:rsidR="008819A4">
        <w:rPr>
          <w:rFonts w:ascii="Arial" w:hAnsi="Arial" w:cs="Arial"/>
          <w:sz w:val="24"/>
          <w:szCs w:val="24"/>
        </w:rPr>
        <w:t>Control Interno la documentación necesaria para la gestión de las autorizaciones correspondientes a la baja documental de aquellos expedientes que lo requieran.</w:t>
      </w:r>
    </w:p>
    <w:p w:rsidR="00EB279E" w:rsidRDefault="00EB279E" w:rsidP="003729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Determinar la localización topográfica de las series documentales en la infraestructura necesaria para la debida localización, preservación y orden de los archivos del Instituto.</w:t>
      </w:r>
    </w:p>
    <w:p w:rsidR="0032289C" w:rsidRDefault="002320B8" w:rsidP="003729AA">
      <w:pPr>
        <w:jc w:val="both"/>
        <w:rPr>
          <w:rFonts w:ascii="Arial" w:hAnsi="Arial" w:cs="Arial"/>
          <w:sz w:val="24"/>
          <w:szCs w:val="24"/>
        </w:rPr>
      </w:pPr>
      <w:r w:rsidRPr="000E7844">
        <w:rPr>
          <w:rFonts w:ascii="Arial" w:hAnsi="Arial" w:cs="Arial"/>
          <w:b/>
          <w:sz w:val="24"/>
          <w:szCs w:val="24"/>
        </w:rPr>
        <w:t>Quinto.-</w:t>
      </w:r>
      <w:r>
        <w:rPr>
          <w:rFonts w:ascii="Arial" w:hAnsi="Arial" w:cs="Arial"/>
          <w:sz w:val="24"/>
          <w:szCs w:val="24"/>
        </w:rPr>
        <w:t xml:space="preserve"> </w:t>
      </w:r>
      <w:r w:rsidR="0032289C">
        <w:rPr>
          <w:rFonts w:ascii="Arial" w:hAnsi="Arial" w:cs="Arial"/>
          <w:sz w:val="24"/>
          <w:szCs w:val="24"/>
        </w:rPr>
        <w:t xml:space="preserve">Estos Lineamientos entrarán en vigor </w:t>
      </w:r>
      <w:r w:rsidR="007B7B8C">
        <w:rPr>
          <w:rFonts w:ascii="Arial" w:hAnsi="Arial" w:cs="Arial"/>
          <w:sz w:val="24"/>
          <w:szCs w:val="24"/>
        </w:rPr>
        <w:t xml:space="preserve">y </w:t>
      </w:r>
      <w:r w:rsidR="007B7B8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surtiran</w:t>
      </w:r>
      <w:r w:rsidR="0032289C" w:rsidRPr="0081763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efectos a partir </w:t>
      </w:r>
      <w:r w:rsidR="0032289C" w:rsidRPr="00E6766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del día siguiente al de </w:t>
      </w:r>
      <w:r w:rsidR="0032289C" w:rsidRPr="0081763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su </w:t>
      </w:r>
      <w:r w:rsidR="0032289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aprobación.</w:t>
      </w:r>
      <w:r w:rsidR="0032289C">
        <w:rPr>
          <w:rFonts w:ascii="Arial" w:hAnsi="Arial" w:cs="Arial"/>
          <w:sz w:val="24"/>
          <w:szCs w:val="24"/>
        </w:rPr>
        <w:t xml:space="preserve"> </w:t>
      </w:r>
    </w:p>
    <w:p w:rsidR="00850A15" w:rsidRDefault="00850A15">
      <w:pPr>
        <w:jc w:val="both"/>
      </w:pPr>
    </w:p>
    <w:p w:rsidR="00406635" w:rsidRDefault="00406635">
      <w:pPr>
        <w:jc w:val="both"/>
      </w:pPr>
    </w:p>
    <w:p w:rsidR="00406635" w:rsidRPr="00406635" w:rsidRDefault="0040663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Los presentes Lineamientos fueron aprobados </w:t>
      </w:r>
      <w:bookmarkStart w:id="0" w:name="_GoBack"/>
      <w:r w:rsidR="00D97429" w:rsidRPr="00D97429">
        <w:rPr>
          <w:rFonts w:ascii="Arial" w:hAnsi="Arial" w:cs="Arial"/>
          <w:b/>
          <w:sz w:val="18"/>
          <w:szCs w:val="18"/>
        </w:rPr>
        <w:t xml:space="preserve">por el Instituto Electoral del Estado de Sinaloa, mediante Acuerdo </w:t>
      </w:r>
      <w:r w:rsidR="00D97429">
        <w:rPr>
          <w:rFonts w:ascii="Arial" w:hAnsi="Arial" w:cs="Arial"/>
          <w:b/>
          <w:sz w:val="18"/>
          <w:szCs w:val="18"/>
        </w:rPr>
        <w:t>Administrativo</w:t>
      </w:r>
      <w:r w:rsidR="00D97429" w:rsidRPr="00D97429">
        <w:rPr>
          <w:rFonts w:ascii="Arial" w:hAnsi="Arial" w:cs="Arial"/>
          <w:b/>
          <w:sz w:val="18"/>
          <w:szCs w:val="18"/>
        </w:rPr>
        <w:t xml:space="preserve"> </w:t>
      </w:r>
      <w:r w:rsidR="00D97429">
        <w:rPr>
          <w:rFonts w:ascii="Arial" w:hAnsi="Arial" w:cs="Arial"/>
          <w:b/>
          <w:sz w:val="18"/>
          <w:szCs w:val="18"/>
        </w:rPr>
        <w:t xml:space="preserve">de las y los Consejeros Electorales, </w:t>
      </w:r>
      <w:r w:rsidR="00D97429" w:rsidRPr="00D97429">
        <w:rPr>
          <w:rFonts w:ascii="Arial" w:hAnsi="Arial" w:cs="Arial"/>
          <w:b/>
          <w:sz w:val="18"/>
          <w:szCs w:val="18"/>
        </w:rPr>
        <w:t xml:space="preserve">a los </w:t>
      </w:r>
      <w:r w:rsidR="00D97429">
        <w:rPr>
          <w:rFonts w:ascii="Arial" w:hAnsi="Arial" w:cs="Arial"/>
          <w:b/>
          <w:sz w:val="18"/>
          <w:szCs w:val="18"/>
        </w:rPr>
        <w:t>22</w:t>
      </w:r>
      <w:r w:rsidR="00D97429" w:rsidRPr="00D97429">
        <w:rPr>
          <w:rFonts w:ascii="Arial" w:hAnsi="Arial" w:cs="Arial"/>
          <w:b/>
          <w:sz w:val="18"/>
          <w:szCs w:val="18"/>
        </w:rPr>
        <w:t xml:space="preserve"> días del mes de </w:t>
      </w:r>
      <w:r w:rsidR="00D97429">
        <w:rPr>
          <w:rFonts w:ascii="Arial" w:hAnsi="Arial" w:cs="Arial"/>
          <w:b/>
          <w:sz w:val="18"/>
          <w:szCs w:val="18"/>
        </w:rPr>
        <w:t>mayo</w:t>
      </w:r>
      <w:r w:rsidR="00D97429" w:rsidRPr="00D97429">
        <w:rPr>
          <w:rFonts w:ascii="Arial" w:hAnsi="Arial" w:cs="Arial"/>
          <w:b/>
          <w:sz w:val="18"/>
          <w:szCs w:val="18"/>
        </w:rPr>
        <w:t xml:space="preserve"> de 20</w:t>
      </w:r>
      <w:r w:rsidR="00D97429">
        <w:rPr>
          <w:rFonts w:ascii="Arial" w:hAnsi="Arial" w:cs="Arial"/>
          <w:b/>
          <w:sz w:val="18"/>
          <w:szCs w:val="18"/>
        </w:rPr>
        <w:t>19.</w:t>
      </w:r>
      <w:bookmarkEnd w:id="0"/>
    </w:p>
    <w:sectPr w:rsidR="00406635" w:rsidRPr="00406635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530" w:rsidRDefault="00DC4530" w:rsidP="00032EA4">
      <w:pPr>
        <w:spacing w:after="0" w:line="240" w:lineRule="auto"/>
      </w:pPr>
      <w:r>
        <w:separator/>
      </w:r>
    </w:p>
  </w:endnote>
  <w:endnote w:type="continuationSeparator" w:id="0">
    <w:p w:rsidR="00DC4530" w:rsidRDefault="00DC4530" w:rsidP="0003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4825228"/>
      <w:docPartObj>
        <w:docPartGallery w:val="Page Numbers (Bottom of Page)"/>
        <w:docPartUnique/>
      </w:docPartObj>
    </w:sdtPr>
    <w:sdtEndPr/>
    <w:sdtContent>
      <w:p w:rsidR="00032EA4" w:rsidRDefault="00032EA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429" w:rsidRPr="00D97429">
          <w:rPr>
            <w:noProof/>
            <w:lang w:val="es-ES"/>
          </w:rPr>
          <w:t>2</w:t>
        </w:r>
        <w:r>
          <w:fldChar w:fldCharType="end"/>
        </w:r>
      </w:p>
    </w:sdtContent>
  </w:sdt>
  <w:p w:rsidR="00032EA4" w:rsidRDefault="00032E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530" w:rsidRDefault="00DC4530" w:rsidP="00032EA4">
      <w:pPr>
        <w:spacing w:after="0" w:line="240" w:lineRule="auto"/>
      </w:pPr>
      <w:r>
        <w:separator/>
      </w:r>
    </w:p>
  </w:footnote>
  <w:footnote w:type="continuationSeparator" w:id="0">
    <w:p w:rsidR="00DC4530" w:rsidRDefault="00DC4530" w:rsidP="00032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2A"/>
    <w:rsid w:val="0003247B"/>
    <w:rsid w:val="00032EA4"/>
    <w:rsid w:val="000D7C3C"/>
    <w:rsid w:val="000E7844"/>
    <w:rsid w:val="00220DD1"/>
    <w:rsid w:val="002320B8"/>
    <w:rsid w:val="002B149A"/>
    <w:rsid w:val="002F456F"/>
    <w:rsid w:val="0032289C"/>
    <w:rsid w:val="003729AA"/>
    <w:rsid w:val="00406635"/>
    <w:rsid w:val="00462E59"/>
    <w:rsid w:val="005D06F4"/>
    <w:rsid w:val="0075082A"/>
    <w:rsid w:val="007B7B8C"/>
    <w:rsid w:val="00850A15"/>
    <w:rsid w:val="008819A4"/>
    <w:rsid w:val="008A12FD"/>
    <w:rsid w:val="00C8753E"/>
    <w:rsid w:val="00D97429"/>
    <w:rsid w:val="00DC4530"/>
    <w:rsid w:val="00E92344"/>
    <w:rsid w:val="00EB279E"/>
    <w:rsid w:val="00E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2E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EA4"/>
  </w:style>
  <w:style w:type="paragraph" w:styleId="Piedepgina">
    <w:name w:val="footer"/>
    <w:basedOn w:val="Normal"/>
    <w:link w:val="PiedepginaCar"/>
    <w:uiPriority w:val="99"/>
    <w:unhideWhenUsed/>
    <w:rsid w:val="00032E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2E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EA4"/>
  </w:style>
  <w:style w:type="paragraph" w:styleId="Piedepgina">
    <w:name w:val="footer"/>
    <w:basedOn w:val="Normal"/>
    <w:link w:val="PiedepginaCar"/>
    <w:uiPriority w:val="99"/>
    <w:unhideWhenUsed/>
    <w:rsid w:val="00032E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1E31F-91CB-47F6-B7DC-F4C714F5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Vega</dc:creator>
  <cp:lastModifiedBy>Usuario de Windows</cp:lastModifiedBy>
  <cp:revision>4</cp:revision>
  <cp:lastPrinted>2019-05-29T14:32:00Z</cp:lastPrinted>
  <dcterms:created xsi:type="dcterms:W3CDTF">2019-10-30T17:09:00Z</dcterms:created>
  <dcterms:modified xsi:type="dcterms:W3CDTF">2019-10-31T16:08:00Z</dcterms:modified>
</cp:coreProperties>
</file>